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DEAD" w14:textId="14F2E5E8" w:rsidR="00856DD1" w:rsidRDefault="00856DD1" w:rsidP="00856DD1">
      <w:pPr>
        <w:pStyle w:val="aa"/>
        <w:rPr>
          <w:rFonts w:eastAsia="宋体" w:cs="Arial"/>
          <w:bCs/>
          <w:sz w:val="22"/>
          <w:lang w:eastAsia="zh-CN"/>
        </w:rPr>
      </w:pPr>
      <w:bookmarkStart w:id="0" w:name="_GoBack"/>
      <w:bookmarkEnd w:id="0"/>
      <w:r>
        <w:rPr>
          <w:rFonts w:cs="Arial"/>
          <w:bCs/>
          <w:sz w:val="22"/>
        </w:rPr>
        <w:t xml:space="preserve">3GPP TSG RAN WG1 </w:t>
      </w:r>
      <w:r>
        <w:rPr>
          <w:rFonts w:eastAsia="宋体" w:cs="Arial"/>
          <w:bCs/>
          <w:sz w:val="22"/>
          <w:lang w:eastAsia="zh-CN"/>
        </w:rPr>
        <w:t>#100</w:t>
      </w:r>
      <w:r w:rsidR="003F2A3F">
        <w:rPr>
          <w:rFonts w:eastAsia="宋体" w:cs="Arial"/>
          <w:bCs/>
          <w:sz w:val="22"/>
          <w:lang w:eastAsia="zh-CN"/>
        </w:rPr>
        <w:t>bis</w:t>
      </w:r>
      <w:r>
        <w:rPr>
          <w:rFonts w:cs="Arial"/>
          <w:bCs/>
          <w:sz w:val="22"/>
        </w:rPr>
        <w:tab/>
      </w:r>
      <w:r>
        <w:rPr>
          <w:rFonts w:cs="Arial"/>
          <w:bCs/>
          <w:sz w:val="22"/>
        </w:rPr>
        <w:tab/>
        <w:t>R1-200</w:t>
      </w:r>
      <w:r w:rsidR="003F2A3F">
        <w:rPr>
          <w:rFonts w:cs="Arial"/>
          <w:bCs/>
          <w:sz w:val="22"/>
        </w:rPr>
        <w:t>1656</w:t>
      </w:r>
    </w:p>
    <w:p w14:paraId="30DAF462" w14:textId="37BDBC7C" w:rsidR="00856DD1" w:rsidRPr="00AA7383" w:rsidRDefault="00856DD1" w:rsidP="00856DD1">
      <w:pPr>
        <w:pStyle w:val="aa"/>
        <w:jc w:val="both"/>
        <w:rPr>
          <w:rFonts w:cs="Arial"/>
          <w:bCs/>
          <w:sz w:val="22"/>
        </w:rPr>
      </w:pPr>
      <w:r w:rsidRPr="00856DD1">
        <w:rPr>
          <w:rFonts w:cs="Arial"/>
          <w:bCs/>
          <w:sz w:val="22"/>
        </w:rPr>
        <w:t xml:space="preserve">e-Meeting, </w:t>
      </w:r>
      <w:r w:rsidR="003F2A3F">
        <w:rPr>
          <w:rFonts w:cs="Arial"/>
          <w:bCs/>
          <w:sz w:val="22"/>
        </w:rPr>
        <w:t>April</w:t>
      </w:r>
      <w:r w:rsidR="003F2A3F" w:rsidRPr="00856DD1">
        <w:rPr>
          <w:rFonts w:cs="Arial"/>
          <w:bCs/>
          <w:sz w:val="22"/>
        </w:rPr>
        <w:t xml:space="preserve"> </w:t>
      </w:r>
      <w:r w:rsidR="003F2A3F">
        <w:rPr>
          <w:rFonts w:cs="Arial"/>
          <w:bCs/>
          <w:sz w:val="22"/>
        </w:rPr>
        <w:t>20</w:t>
      </w:r>
      <w:r w:rsidR="003F2A3F" w:rsidRPr="00856DD1">
        <w:rPr>
          <w:rFonts w:cs="Arial"/>
          <w:bCs/>
          <w:sz w:val="22"/>
        </w:rPr>
        <w:t xml:space="preserve">th – </w:t>
      </w:r>
      <w:r w:rsidR="003F2A3F">
        <w:rPr>
          <w:rFonts w:cs="Arial"/>
          <w:bCs/>
          <w:sz w:val="22"/>
        </w:rPr>
        <w:t>30</w:t>
      </w:r>
      <w:r w:rsidR="003F2A3F" w:rsidRPr="00856DD1">
        <w:rPr>
          <w:rFonts w:cs="Arial"/>
          <w:bCs/>
          <w:sz w:val="22"/>
        </w:rPr>
        <w:t>th, 2020</w:t>
      </w:r>
    </w:p>
    <w:p w14:paraId="2F3448E2" w14:textId="77777777" w:rsidR="00EA5A61" w:rsidRDefault="00EA5A61">
      <w:pPr>
        <w:pStyle w:val="aa"/>
        <w:tabs>
          <w:tab w:val="clear" w:pos="4536"/>
          <w:tab w:val="left" w:pos="1800"/>
        </w:tabs>
        <w:ind w:left="1800" w:hanging="1800"/>
        <w:rPr>
          <w:rFonts w:eastAsia="宋体" w:cs="Arial"/>
          <w:sz w:val="22"/>
          <w:szCs w:val="22"/>
          <w:lang w:eastAsia="zh-CN"/>
        </w:rPr>
      </w:pPr>
    </w:p>
    <w:p w14:paraId="03DCCBA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331B79A0"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w:t>
      </w:r>
      <w:r w:rsidR="001F46A7">
        <w:rPr>
          <w:rFonts w:cs="Arial"/>
          <w:sz w:val="22"/>
          <w:szCs w:val="22"/>
        </w:rPr>
        <w:t>wideband operation in NRU</w:t>
      </w:r>
    </w:p>
    <w:p w14:paraId="7CDA35B9" w14:textId="20F1639F"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4F1953">
        <w:rPr>
          <w:rFonts w:eastAsia="宋体" w:cs="Arial"/>
          <w:sz w:val="22"/>
          <w:szCs w:val="22"/>
          <w:lang w:eastAsia="zh-CN"/>
        </w:rPr>
        <w:t>2.5</w:t>
      </w:r>
    </w:p>
    <w:p w14:paraId="5A4BFC5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057C09B" w14:textId="6CEB71F5" w:rsidR="00856DD1" w:rsidRPr="00504F91" w:rsidRDefault="00856DD1" w:rsidP="00856DD1">
      <w:pPr>
        <w:pStyle w:val="a0"/>
        <w:rPr>
          <w:rFonts w:ascii="Times New Roman" w:hAnsi="Times New Roman"/>
        </w:rPr>
      </w:pPr>
      <w:r w:rsidRPr="00504F91">
        <w:rPr>
          <w:rFonts w:ascii="Times New Roman" w:hAnsi="Times New Roman" w:hint="eastAsia"/>
        </w:rPr>
        <w:t>T</w:t>
      </w:r>
      <w:r w:rsidRPr="00504F91">
        <w:rPr>
          <w:rFonts w:ascii="Times New Roman" w:hAnsi="Times New Roman"/>
        </w:rPr>
        <w:t xml:space="preserve">his contribution discusses remaining aspects on </w:t>
      </w:r>
      <w:r w:rsidR="00C628D6" w:rsidRPr="00504F91">
        <w:rPr>
          <w:rFonts w:ascii="Times New Roman" w:hAnsi="Times New Roman"/>
        </w:rPr>
        <w:t>wideband operation</w:t>
      </w:r>
      <w:r w:rsidRPr="00504F91">
        <w:rPr>
          <w:rFonts w:ascii="Times New Roman" w:hAnsi="Times New Roman"/>
        </w:rPr>
        <w:t xml:space="preserve"> for NRU.</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B6525E3"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C6B4725" w14:textId="7DBAEC81" w:rsidR="003F2A3F" w:rsidRDefault="003F2A3F" w:rsidP="00116C54">
      <w:pPr>
        <w:pStyle w:val="20"/>
        <w:numPr>
          <w:ilvl w:val="1"/>
          <w:numId w:val="7"/>
        </w:numPr>
        <w:tabs>
          <w:tab w:val="clear" w:pos="1984"/>
          <w:tab w:val="num" w:pos="567"/>
        </w:tabs>
        <w:ind w:left="567"/>
        <w:rPr>
          <w:rFonts w:eastAsia="宋体"/>
          <w:b w:val="0"/>
          <w:sz w:val="30"/>
          <w:szCs w:val="30"/>
        </w:rPr>
      </w:pPr>
      <w:bookmarkStart w:id="2" w:name="_Ref521492551"/>
      <w:r>
        <w:rPr>
          <w:rFonts w:eastAsia="宋体" w:hint="eastAsia"/>
          <w:b w:val="0"/>
          <w:sz w:val="30"/>
          <w:szCs w:val="30"/>
        </w:rPr>
        <w:t>R</w:t>
      </w:r>
      <w:r>
        <w:rPr>
          <w:rFonts w:eastAsia="宋体"/>
          <w:b w:val="0"/>
          <w:sz w:val="30"/>
          <w:szCs w:val="30"/>
        </w:rPr>
        <w:t>B set definition</w:t>
      </w:r>
    </w:p>
    <w:p w14:paraId="20B93F37" w14:textId="5B58DFE3" w:rsidR="003F2A3F" w:rsidRDefault="00133121" w:rsidP="003F2A3F">
      <w:pPr>
        <w:pStyle w:val="a0"/>
        <w:rPr>
          <w:rFonts w:ascii="Times New Roman" w:hAnsi="Times New Roman"/>
        </w:rPr>
      </w:pPr>
      <w:r>
        <w:rPr>
          <w:rFonts w:ascii="Times New Roman" w:hAnsi="Times New Roman"/>
        </w:rPr>
        <w:t>Referring</w:t>
      </w:r>
      <w:r w:rsidR="006201E5" w:rsidRPr="006201E5">
        <w:rPr>
          <w:rFonts w:ascii="Times New Roman" w:hAnsi="Times New Roman"/>
        </w:rPr>
        <w:t xml:space="preserve"> to </w:t>
      </w:r>
      <w:r>
        <w:rPr>
          <w:rFonts w:ascii="Times New Roman" w:hAnsi="Times New Roman"/>
        </w:rPr>
        <w:t xml:space="preserve">the latest running RRC CR </w:t>
      </w:r>
      <w:r w:rsidR="002E6369">
        <w:rPr>
          <w:rFonts w:ascii="Times New Roman" w:hAnsi="Times New Roman"/>
        </w:rPr>
        <w:fldChar w:fldCharType="begin"/>
      </w:r>
      <w:r w:rsidR="002E6369">
        <w:rPr>
          <w:rFonts w:ascii="Times New Roman" w:hAnsi="Times New Roman"/>
        </w:rPr>
        <w:instrText xml:space="preserve"> REF _Ref37233464 \r \h </w:instrText>
      </w:r>
      <w:r w:rsidR="002E6369">
        <w:rPr>
          <w:rFonts w:ascii="Times New Roman" w:hAnsi="Times New Roman"/>
        </w:rPr>
      </w:r>
      <w:r w:rsidR="002E6369">
        <w:rPr>
          <w:rFonts w:ascii="Times New Roman" w:hAnsi="Times New Roman"/>
        </w:rPr>
        <w:fldChar w:fldCharType="separate"/>
      </w:r>
      <w:r w:rsidR="001C3F76">
        <w:rPr>
          <w:rFonts w:ascii="Times New Roman" w:hAnsi="Times New Roman"/>
        </w:rPr>
        <w:t>[1]</w:t>
      </w:r>
      <w:r w:rsidR="002E6369">
        <w:rPr>
          <w:rFonts w:ascii="Times New Roman" w:hAnsi="Times New Roman"/>
        </w:rPr>
        <w:fldChar w:fldCharType="end"/>
      </w:r>
      <w:r>
        <w:rPr>
          <w:rFonts w:ascii="Times New Roman" w:hAnsi="Times New Roman"/>
        </w:rPr>
        <w:t xml:space="preserve">, RAN2 decides to use start CRB and number of CRBs to configure the intra carrier guard band. Accordingly, the corresponding text in 38.214 to define the RB sets should be updated based on this change. </w:t>
      </w:r>
    </w:p>
    <w:p w14:paraId="0AC628F1" w14:textId="03F01823" w:rsidR="00133121" w:rsidRDefault="00133121" w:rsidP="003F2A3F">
      <w:pPr>
        <w:pStyle w:val="a0"/>
        <w:rPr>
          <w:rFonts w:ascii="Times New Roman" w:hAnsi="Times New Roman"/>
          <w:b/>
        </w:rPr>
      </w:pPr>
      <w:bookmarkStart w:id="3" w:name="_Ref37178273"/>
      <w:r w:rsidRPr="00544AA6">
        <w:rPr>
          <w:rFonts w:ascii="Times New Roman" w:hAnsi="Times New Roman"/>
          <w:b/>
        </w:rPr>
        <w:t>P</w:t>
      </w:r>
      <w:r w:rsidRPr="00544AA6">
        <w:rPr>
          <w:rFonts w:ascii="Times New Roman" w:hAnsi="Times New Roman" w:hint="eastAsia"/>
          <w:b/>
        </w:rPr>
        <w:t xml:space="preserve">roposal </w:t>
      </w:r>
      <w:r w:rsidRPr="00544AA6">
        <w:rPr>
          <w:rFonts w:ascii="Times New Roman" w:hAnsi="Times New Roman"/>
          <w:b/>
        </w:rPr>
        <w:fldChar w:fldCharType="begin"/>
      </w:r>
      <w:r w:rsidRPr="00544AA6">
        <w:rPr>
          <w:rFonts w:ascii="Times New Roman" w:hAnsi="Times New Roman"/>
          <w:b/>
        </w:rPr>
        <w:instrText xml:space="preserve"> </w:instrText>
      </w:r>
      <w:r w:rsidRPr="00544AA6">
        <w:rPr>
          <w:rFonts w:ascii="Times New Roman" w:hAnsi="Times New Roman" w:hint="eastAsia"/>
          <w:b/>
        </w:rPr>
        <w:instrText>SEQ Proposal \* ARABIC</w:instrText>
      </w:r>
      <w:r w:rsidRPr="00544AA6">
        <w:rPr>
          <w:rFonts w:ascii="Times New Roman" w:hAnsi="Times New Roman"/>
          <w:b/>
        </w:rPr>
        <w:instrText xml:space="preserve"> </w:instrText>
      </w:r>
      <w:r w:rsidRPr="00544AA6">
        <w:rPr>
          <w:rFonts w:ascii="Times New Roman" w:hAnsi="Times New Roman"/>
          <w:b/>
        </w:rPr>
        <w:fldChar w:fldCharType="separate"/>
      </w:r>
      <w:r w:rsidR="001C3F76">
        <w:rPr>
          <w:rFonts w:ascii="Times New Roman" w:hAnsi="Times New Roman"/>
          <w:b/>
          <w:noProof/>
        </w:rPr>
        <w:t>1</w:t>
      </w:r>
      <w:r w:rsidRPr="00544AA6">
        <w:rPr>
          <w:rFonts w:ascii="Times New Roman" w:hAnsi="Times New Roman"/>
          <w:b/>
        </w:rPr>
        <w:fldChar w:fldCharType="end"/>
      </w:r>
      <w:r w:rsidRPr="00544AA6">
        <w:rPr>
          <w:rFonts w:ascii="Times New Roman" w:hAnsi="Times New Roman" w:hint="eastAsia"/>
          <w:b/>
        </w:rPr>
        <w:t>:</w:t>
      </w:r>
      <w:r w:rsidRPr="00544AA6">
        <w:rPr>
          <w:rFonts w:ascii="Times New Roman" w:hAnsi="Times New Roman"/>
          <w:b/>
        </w:rPr>
        <w:t xml:space="preserve"> </w:t>
      </w:r>
      <w:r>
        <w:rPr>
          <w:rFonts w:ascii="Times New Roman" w:hAnsi="Times New Roman"/>
          <w:b/>
        </w:rPr>
        <w:t>RAN1 adopts the following TP1 for RB set definition.</w:t>
      </w:r>
      <w:bookmarkEnd w:id="3"/>
    </w:p>
    <w:p w14:paraId="679AC195" w14:textId="527CE94B" w:rsidR="00133121" w:rsidRDefault="00133121" w:rsidP="00133121">
      <w:pPr>
        <w:spacing w:after="180"/>
        <w:rPr>
          <w:rFonts w:ascii="Times New Roman" w:hAnsi="Times New Roman"/>
          <w:szCs w:val="20"/>
        </w:rPr>
      </w:pPr>
      <w:r>
        <w:t>--------------------------------------------- Start TP1 for Section 7 of TS 38.214 ----------------------------------------</w:t>
      </w:r>
    </w:p>
    <w:p w14:paraId="376A9948" w14:textId="7F7CB09E" w:rsidR="00133121" w:rsidRPr="00E63580" w:rsidRDefault="002E6369" w:rsidP="00133121">
      <w:pPr>
        <w:pStyle w:val="a0"/>
        <w:rPr>
          <w:rFonts w:ascii="Times New Roman" w:eastAsia="Times New Roman" w:hAnsi="Times New Roman"/>
          <w:color w:val="FF0000"/>
          <w:sz w:val="18"/>
          <w:szCs w:val="20"/>
        </w:rPr>
      </w:pPr>
      <w:r w:rsidRPr="00E63580">
        <w:rPr>
          <w:rFonts w:ascii="Times New Roman" w:hAnsi="Times New Roman"/>
          <w:sz w:val="18"/>
        </w:rPr>
        <w:t xml:space="preserve">For operation with shared spectrum channel access, when the UE is configured with any of </w:t>
      </w:r>
      <w:r w:rsidRPr="00E63580">
        <w:rPr>
          <w:rFonts w:ascii="Times New Roman" w:hAnsi="Times New Roman"/>
          <w:i/>
          <w:sz w:val="18"/>
        </w:rPr>
        <w:t xml:space="preserve">intraCellGuardBandUL-r16 </w:t>
      </w:r>
      <w:r w:rsidRPr="00E63580">
        <w:rPr>
          <w:rFonts w:ascii="Times New Roman" w:hAnsi="Times New Roman"/>
          <w:sz w:val="18"/>
        </w:rPr>
        <w:t xml:space="preserve">for UL carrier and </w:t>
      </w:r>
      <w:r w:rsidRPr="00E63580">
        <w:rPr>
          <w:rFonts w:ascii="Times New Roman" w:hAnsi="Times New Roman"/>
          <w:i/>
          <w:sz w:val="18"/>
        </w:rPr>
        <w:t xml:space="preserve">intraCellGuardBandDL-r16 </w:t>
      </w:r>
      <w:r w:rsidRPr="00E63580">
        <w:rPr>
          <w:rFonts w:ascii="Times New Roman" w:hAnsi="Times New Roman"/>
          <w:sz w:val="18"/>
        </w:rPr>
        <w:t>for DL carrier</w:t>
      </w:r>
      <w:r w:rsidRPr="00E63580">
        <w:rPr>
          <w:rFonts w:ascii="Times New Roman" w:hAnsi="Times New Roman"/>
          <w:sz w:val="18"/>
          <w:lang w:val="en-CA"/>
        </w:rPr>
        <w:t xml:space="preserve">, the UE is provided with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 xml:space="preserve">-1 </m:t>
        </m:r>
      </m:oMath>
      <w:r w:rsidRPr="00E63580">
        <w:rPr>
          <w:rFonts w:ascii="Times New Roman" w:hAnsi="Times New Roman"/>
          <w:sz w:val="18"/>
        </w:rPr>
        <w:t xml:space="preserve"> intra-cell guard bands on a carrier, each defined by start </w:t>
      </w:r>
      <w:r w:rsidRPr="00E63580">
        <w:rPr>
          <w:rFonts w:ascii="Times New Roman" w:hAnsi="Times New Roman"/>
          <w:color w:val="FF0000"/>
          <w:sz w:val="18"/>
          <w:u w:val="single"/>
        </w:rPr>
        <w:t>CRB</w:t>
      </w:r>
      <w:r w:rsidRPr="00E63580">
        <w:rPr>
          <w:rFonts w:ascii="Times New Roman" w:hAnsi="Times New Roman"/>
          <w:sz w:val="18"/>
        </w:rPr>
        <w:t xml:space="preserve"> and </w:t>
      </w:r>
      <w:r w:rsidRPr="00E63580">
        <w:rPr>
          <w:rFonts w:ascii="Times New Roman" w:hAnsi="Times New Roman"/>
          <w:strike/>
          <w:color w:val="FF0000"/>
          <w:sz w:val="18"/>
        </w:rPr>
        <w:t xml:space="preserve">end </w:t>
      </w:r>
      <w:r w:rsidRPr="00E63580">
        <w:rPr>
          <w:rFonts w:ascii="Times New Roman" w:hAnsi="Times New Roman"/>
          <w:color w:val="FF0000"/>
          <w:sz w:val="18"/>
          <w:u w:val="single"/>
        </w:rPr>
        <w:t xml:space="preserve">number of </w:t>
      </w:r>
      <w:r w:rsidRPr="00E63580">
        <w:rPr>
          <w:rFonts w:ascii="Times New Roman" w:hAnsi="Times New Roman"/>
          <w:sz w:val="18"/>
        </w:rPr>
        <w:t>CRB</w:t>
      </w:r>
      <w:r w:rsidRPr="00E63580">
        <w:rPr>
          <w:rFonts w:ascii="Times New Roman" w:hAnsi="Times New Roman"/>
          <w:color w:val="FF0000"/>
          <w:sz w:val="18"/>
          <w:u w:val="single"/>
        </w:rPr>
        <w:t>s</w:t>
      </w:r>
      <w:r w:rsidRPr="00E63580">
        <w:rPr>
          <w:rFonts w:ascii="Times New Roman" w:hAnsi="Times New Roman"/>
          <w:sz w:val="18"/>
        </w:rPr>
        <w:t xml:space="preserve">, </w:t>
      </w:r>
      <m:oMath>
        <m:r>
          <w:rPr>
            <w:rFonts w:ascii="Cambria Math" w:hAnsi="Cambria Math"/>
            <w:sz w:val="18"/>
          </w:rPr>
          <m:t>G</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 xml:space="preserve"> </m:t>
        </m:r>
      </m:oMath>
      <w:r w:rsidRPr="00E63580">
        <w:rPr>
          <w:rFonts w:ascii="Times New Roman" w:hAnsi="Times New Roman"/>
          <w:sz w:val="18"/>
        </w:rPr>
        <w:t xml:space="preserve"> and  </w:t>
      </w:r>
      <m:oMath>
        <m:r>
          <w:rPr>
            <w:rFonts w:ascii="Cambria Math" w:hAnsi="Cambria Math"/>
            <w:color w:val="FF0000"/>
            <w:sz w:val="18"/>
          </w:rPr>
          <m:t>NG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μ</m:t>
            </m:r>
          </m:sup>
        </m:sSubSup>
        <m:r>
          <w:rPr>
            <w:rFonts w:ascii="Cambria Math" w:hAnsi="Cambria Math"/>
            <w:color w:val="FF0000"/>
            <w:sz w:val="18"/>
          </w:rPr>
          <m:t xml:space="preserve"> </m:t>
        </m:r>
      </m:oMath>
      <w:r w:rsidRPr="00E63580">
        <w:rPr>
          <w:rFonts w:ascii="Times New Roman" w:hAnsi="Times New Roman"/>
          <w:sz w:val="18"/>
        </w:rPr>
        <w:t xml:space="preserve">, respectively. The intra-cell guard bands separate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 xml:space="preserve"> </m:t>
        </m:r>
      </m:oMath>
      <w:r w:rsidRPr="00E63580">
        <w:rPr>
          <w:rFonts w:ascii="Times New Roman" w:hAnsi="Times New Roman"/>
          <w:sz w:val="18"/>
        </w:rPr>
        <w:t xml:space="preserve">RB-sets, each defined by start and end CRB,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 xml:space="preserve"> </m:t>
        </m:r>
      </m:oMath>
      <w:r w:rsidRPr="00E63580">
        <w:rPr>
          <w:rFonts w:ascii="Times New Roman" w:hAnsi="Times New Roman"/>
          <w:sz w:val="18"/>
        </w:rPr>
        <w:t xml:space="preserve">and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end,μ</m:t>
            </m:r>
          </m:sup>
        </m:sSubSup>
      </m:oMath>
      <w:r w:rsidRPr="00E63580">
        <w:rPr>
          <w:rFonts w:ascii="Times New Roman" w:hAnsi="Times New Roman"/>
          <w:sz w:val="18"/>
        </w:rPr>
        <w:t xml:space="preserve">, respectively.  UE determines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0</m:t>
            </m:r>
          </m:sub>
          <m:sup>
            <m:r>
              <w:rPr>
                <w:rFonts w:ascii="Cambria Math" w:hAnsi="Cambria Math"/>
                <w:sz w:val="18"/>
              </w:rPr>
              <m:t>start,μ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start</m:t>
            </m:r>
            <m:r>
              <w:rPr>
                <w:rFonts w:ascii="Cambria Math" w:hAnsi="Cambria Math"/>
                <w:sz w:val="18"/>
              </w:rPr>
              <m:t>,μ</m:t>
            </m:r>
          </m:sup>
        </m:sSubSup>
      </m:oMath>
      <w:r w:rsidRPr="00E63580">
        <w:rPr>
          <w:rFonts w:ascii="Times New Roman" w:hAnsi="Times New Roman"/>
          <w:sz w:val="18"/>
        </w:rPr>
        <w:t xml:space="preserve">,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-1</m:t>
            </m:r>
          </m:sub>
          <m:sup>
            <m:r>
              <w:rPr>
                <w:rFonts w:ascii="Cambria Math" w:hAnsi="Cambria Math"/>
                <w:sz w:val="18"/>
              </w:rPr>
              <m:t>end,μ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start</m:t>
            </m:r>
            <m:r>
              <w:rPr>
                <w:rFonts w:ascii="Cambria Math" w:hAnsi="Cambria Math"/>
                <w:sz w:val="18"/>
              </w:rPr>
              <m:t>,μ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sidRPr="00E63580">
        <w:rPr>
          <w:rFonts w:ascii="Times New Roman" w:hAnsi="Times New Roman"/>
          <w:sz w:val="18"/>
        </w:rPr>
        <w:t xml:space="preserve">  , and the remaining start and end CRBs as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end,μ</m:t>
            </m:r>
          </m:sup>
        </m:sSubSup>
        <m:r>
          <w:rPr>
            <w:rFonts w:ascii="Cambria Math" w:hAnsi="Cambria Math"/>
            <w:sz w:val="18"/>
          </w:rPr>
          <m:t>=G</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-1</m:t>
        </m:r>
      </m:oMath>
      <w:r w:rsidRPr="00E63580">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sz w:val="18"/>
              </w:rPr>
              <m:t>RB</m:t>
            </m:r>
          </m:e>
          <m:sub>
            <m:r>
              <w:rPr>
                <w:rFonts w:ascii="Cambria Math" w:hAnsi="Cambria Math"/>
                <w:sz w:val="18"/>
              </w:rPr>
              <m:t xml:space="preserve"> s+1</m:t>
            </m:r>
          </m:sub>
          <m:sup>
            <m:r>
              <w:rPr>
                <w:rFonts w:ascii="Cambria Math" w:hAnsi="Cambria Math"/>
                <w:sz w:val="18"/>
              </w:rPr>
              <m:t>start,μ</m:t>
            </m:r>
          </m:sup>
        </m:sSubSup>
        <m:r>
          <w:rPr>
            <w:rFonts w:ascii="Cambria Math" w:hAnsi="Cambria Math"/>
            <w:sz w:val="18"/>
          </w:rPr>
          <m:t>=</m:t>
        </m:r>
        <m:r>
          <w:rPr>
            <w:rFonts w:ascii="Cambria Math" w:hAnsi="Cambria Math"/>
            <w:strike/>
            <w:color w:val="FF0000"/>
            <w:sz w:val="18"/>
          </w:rPr>
          <m:t>G</m:t>
        </m:r>
        <m:sSubSup>
          <m:sSubSupPr>
            <m:ctrlPr>
              <w:rPr>
                <w:rFonts w:ascii="Cambria Math" w:hAnsi="Cambria Math"/>
                <w:i/>
                <w:strike/>
                <w:color w:val="FF0000"/>
                <w:sz w:val="18"/>
              </w:rPr>
            </m:ctrlPr>
          </m:sSubSupPr>
          <m:e>
            <m:r>
              <w:rPr>
                <w:rFonts w:ascii="Cambria Math" w:hAnsi="Cambria Math"/>
                <w:strike/>
                <w:color w:val="FF0000"/>
                <w:sz w:val="18"/>
              </w:rPr>
              <m:t>B</m:t>
            </m:r>
          </m:e>
          <m:sub>
            <m:r>
              <w:rPr>
                <w:rFonts w:ascii="Cambria Math" w:hAnsi="Cambria Math"/>
                <w:strike/>
                <w:color w:val="FF0000"/>
                <w:sz w:val="18"/>
              </w:rPr>
              <m:t xml:space="preserve"> s</m:t>
            </m:r>
          </m:sub>
          <m:sup>
            <m:r>
              <w:rPr>
                <w:rFonts w:ascii="Cambria Math" w:hAnsi="Cambria Math"/>
                <w:strike/>
                <w:color w:val="FF0000"/>
                <w:sz w:val="18"/>
              </w:rPr>
              <m:t>end,μ</m:t>
            </m:r>
          </m:sup>
        </m:sSubSup>
        <m:r>
          <w:rPr>
            <w:rFonts w:ascii="Cambria Math" w:hAnsi="Cambria Math"/>
            <w:strike/>
            <w:color w:val="FF0000"/>
            <w:sz w:val="18"/>
          </w:rPr>
          <m:t>+1</m:t>
        </m:r>
        <m:r>
          <w:rPr>
            <w:rFonts w:ascii="Cambria Math" w:hAnsi="Cambria Math"/>
            <w:color w:val="FF0000"/>
            <w:sz w:val="18"/>
          </w:rPr>
          <m:t>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start,μ</m:t>
            </m:r>
          </m:sup>
        </m:sSubSup>
        <m:r>
          <w:rPr>
            <w:rFonts w:ascii="Cambria Math" w:hAnsi="Cambria Math"/>
            <w:color w:val="FF0000"/>
            <w:sz w:val="18"/>
          </w:rPr>
          <m:t>+NG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μ</m:t>
            </m:r>
          </m:sup>
        </m:sSubSup>
      </m:oMath>
      <w:r w:rsidRPr="00E63580">
        <w:rPr>
          <w:rFonts w:ascii="Times New Roman" w:hAnsi="Times New Roman"/>
          <w:sz w:val="18"/>
        </w:rPr>
        <w:t xml:space="preserve">. When the UE is not configured with </w:t>
      </w:r>
      <w:r w:rsidRPr="00E63580">
        <w:rPr>
          <w:rFonts w:ascii="Times New Roman" w:hAnsi="Times New Roman"/>
          <w:i/>
          <w:sz w:val="18"/>
        </w:rPr>
        <w:t xml:space="preserve">intraCellGuardBandUL-r16, </w:t>
      </w:r>
      <w:r w:rsidRPr="00E63580">
        <w:rPr>
          <w:rFonts w:ascii="Times New Roman" w:hAnsi="Times New Roman"/>
          <w:sz w:val="18"/>
        </w:rPr>
        <w:t xml:space="preserve">the UE determines intra-cell guard band and corresponding RB-set according to the [default intra-cell GB pattern from 38.101 corresponding to </w:t>
      </w:r>
      <m:oMath>
        <m:r>
          <w:rPr>
            <w:rFonts w:ascii="Cambria Math" w:hAnsi="Cambria Math"/>
            <w:sz w:val="18"/>
          </w:rPr>
          <m:t>μ</m:t>
        </m:r>
      </m:oMath>
      <w:r w:rsidRPr="00E63580">
        <w:rPr>
          <w:rFonts w:ascii="Times New Roman" w:hAnsi="Times New Roman"/>
          <w:sz w:val="18"/>
        </w:rPr>
        <w:t xml:space="preserve"> and carrier size </w:t>
      </w:r>
      <m:oMath>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sidRPr="00E63580">
        <w:rPr>
          <w:rFonts w:ascii="Times New Roman" w:hAnsi="Times New Roman"/>
          <w:sz w:val="18"/>
        </w:rPr>
        <w:t xml:space="preserve">]. When the UE is not configured with </w:t>
      </w:r>
      <w:r w:rsidRPr="00E63580">
        <w:rPr>
          <w:rFonts w:ascii="Times New Roman" w:hAnsi="Times New Roman"/>
          <w:i/>
          <w:sz w:val="18"/>
        </w:rPr>
        <w:t xml:space="preserve">intraCellGuardBandDL-r16, </w:t>
      </w:r>
      <w:r w:rsidRPr="00E63580">
        <w:rPr>
          <w:rFonts w:ascii="Times New Roman" w:hAnsi="Times New Roman"/>
          <w:sz w:val="18"/>
        </w:rPr>
        <w:t xml:space="preserve">the UE determines intra-cell guard band and corresponding RB-set according to the [default intra-cell GB pattern from 38.101 corresponding to </w:t>
      </w:r>
      <m:oMath>
        <m:r>
          <w:rPr>
            <w:rFonts w:ascii="Cambria Math" w:hAnsi="Cambria Math"/>
            <w:sz w:val="18"/>
          </w:rPr>
          <m:t>μ</m:t>
        </m:r>
      </m:oMath>
      <w:r w:rsidRPr="00E63580">
        <w:rPr>
          <w:rFonts w:ascii="Times New Roman" w:hAnsi="Times New Roman"/>
          <w:sz w:val="18"/>
        </w:rPr>
        <w:t xml:space="preserve"> and carrier size </w:t>
      </w:r>
      <m:oMath>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sidRPr="00E63580">
        <w:rPr>
          <w:rFonts w:ascii="Times New Roman" w:hAnsi="Times New Roman"/>
          <w:sz w:val="18"/>
        </w:rPr>
        <w:t>].</w:t>
      </w:r>
    </w:p>
    <w:p w14:paraId="3A120FBA" w14:textId="48120D00" w:rsidR="00133121" w:rsidRDefault="00133121" w:rsidP="00133121">
      <w:pPr>
        <w:spacing w:after="180"/>
        <w:rPr>
          <w:rFonts w:ascii="Times New Roman" w:hAnsi="Times New Roman"/>
          <w:szCs w:val="20"/>
        </w:rPr>
      </w:pPr>
      <w:r>
        <w:t>---------------------------------------------</w:t>
      </w:r>
      <w:r w:rsidR="004A1E03">
        <w:t>-</w:t>
      </w:r>
      <w:r>
        <w:t xml:space="preserve"> End TP1 for Section 7 of TS 38.214 ----------------------------------------</w:t>
      </w:r>
    </w:p>
    <w:p w14:paraId="49809E74" w14:textId="31271825" w:rsidR="00362292" w:rsidRDefault="00D30EE8" w:rsidP="00116C54">
      <w:pPr>
        <w:pStyle w:val="20"/>
        <w:numPr>
          <w:ilvl w:val="1"/>
          <w:numId w:val="7"/>
        </w:numPr>
        <w:tabs>
          <w:tab w:val="clear" w:pos="1984"/>
          <w:tab w:val="num" w:pos="567"/>
        </w:tabs>
        <w:ind w:left="567"/>
        <w:rPr>
          <w:rFonts w:eastAsia="宋体"/>
          <w:b w:val="0"/>
          <w:sz w:val="30"/>
          <w:szCs w:val="30"/>
        </w:rPr>
      </w:pPr>
      <w:r>
        <w:rPr>
          <w:rFonts w:eastAsia="宋体"/>
          <w:b w:val="0"/>
          <w:sz w:val="30"/>
          <w:szCs w:val="30"/>
        </w:rPr>
        <w:t xml:space="preserve">SS set configuration with </w:t>
      </w:r>
      <w:r w:rsidRPr="00D30EE8">
        <w:rPr>
          <w:rFonts w:eastAsia="宋体"/>
          <w:b w:val="0"/>
          <w:i/>
          <w:sz w:val="30"/>
          <w:szCs w:val="30"/>
        </w:rPr>
        <w:t>freqMonitorLocations-r16</w:t>
      </w:r>
    </w:p>
    <w:p w14:paraId="4AD555A0" w14:textId="1AF22B93" w:rsidR="00D30EE8" w:rsidRDefault="001C3F76" w:rsidP="00D30EE8">
      <w:pPr>
        <w:pStyle w:val="a0"/>
        <w:rPr>
          <w:rFonts w:ascii="Times New Roman" w:hAnsi="Times New Roman"/>
        </w:rPr>
      </w:pPr>
      <w:r w:rsidRPr="00654E05">
        <w:rPr>
          <w:rFonts w:eastAsiaTheme="minorEastAsia"/>
          <w:noProof/>
          <w:lang w:eastAsia="zh-CN"/>
        </w:rPr>
        <mc:AlternateContent>
          <mc:Choice Requires="wps">
            <w:drawing>
              <wp:anchor distT="45720" distB="45720" distL="114300" distR="114300" simplePos="0" relativeHeight="251659264" behindDoc="0" locked="0" layoutInCell="1" allowOverlap="1" wp14:anchorId="54B08077" wp14:editId="77400537">
                <wp:simplePos x="0" y="0"/>
                <wp:positionH relativeFrom="margin">
                  <wp:posOffset>13335</wp:posOffset>
                </wp:positionH>
                <wp:positionV relativeFrom="paragraph">
                  <wp:posOffset>251460</wp:posOffset>
                </wp:positionV>
                <wp:extent cx="5710555" cy="1404620"/>
                <wp:effectExtent l="0" t="0" r="23495" b="21590"/>
                <wp:wrapSquare wrapText="bothSides"/>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0555" cy="1404620"/>
                        </a:xfrm>
                        <a:prstGeom prst="rect">
                          <a:avLst/>
                        </a:prstGeom>
                        <a:solidFill>
                          <a:srgbClr val="FFFFFF"/>
                        </a:solidFill>
                        <a:ln w="9525">
                          <a:solidFill>
                            <a:srgbClr val="000000"/>
                          </a:solidFill>
                          <a:miter lim="800000"/>
                          <a:headEnd/>
                          <a:tailEnd/>
                        </a:ln>
                      </wps:spPr>
                      <wps:txbx>
                        <w:txbxContent>
                          <w:p w14:paraId="5B6CE918" w14:textId="77777777" w:rsidR="001C3F76" w:rsidRPr="001C3F76" w:rsidRDefault="001C3F76" w:rsidP="001C3F76">
                            <w:pPr>
                              <w:jc w:val="both"/>
                              <w:rPr>
                                <w:sz w:val="15"/>
                              </w:rPr>
                            </w:pPr>
                            <w:r w:rsidRPr="001C3F76">
                              <w:rPr>
                                <w:sz w:val="15"/>
                                <w:highlight w:val="green"/>
                              </w:rPr>
                              <w:t>Agreement:</w:t>
                            </w:r>
                          </w:p>
                          <w:p w14:paraId="7C37329B" w14:textId="77777777" w:rsidR="001C3F76" w:rsidRPr="001C3F76" w:rsidRDefault="001C3F76" w:rsidP="001C3F76">
                            <w:pPr>
                              <w:jc w:val="both"/>
                              <w:rPr>
                                <w:sz w:val="15"/>
                                <w:lang w:eastAsia="x-none"/>
                              </w:rPr>
                            </w:pPr>
                            <w:r w:rsidRPr="001C3F76">
                              <w:rPr>
                                <w:sz w:val="15"/>
                                <w:lang w:eastAsia="x-none"/>
                              </w:rPr>
                              <w:t>For a search space set configuration associated with multiple monitoring locations in the frequency domain (as per the previous agreement defining such a search space set associated with a CORESET confined within an LBT bandwidth):</w:t>
                            </w:r>
                          </w:p>
                          <w:p w14:paraId="6C9D4BEF" w14:textId="77777777" w:rsidR="001C3F76" w:rsidRPr="001C3F76" w:rsidRDefault="001C3F76" w:rsidP="00116C54">
                            <w:pPr>
                              <w:numPr>
                                <w:ilvl w:val="0"/>
                                <w:numId w:val="13"/>
                              </w:numPr>
                              <w:ind w:left="360"/>
                              <w:jc w:val="both"/>
                              <w:rPr>
                                <w:sz w:val="15"/>
                              </w:rPr>
                            </w:pPr>
                            <w:r w:rsidRPr="001C3F76">
                              <w:rPr>
                                <w:sz w:val="15"/>
                              </w:rPr>
                              <w:t xml:space="preserve">PRBs allocated by </w:t>
                            </w:r>
                            <w:r w:rsidRPr="001C3F76">
                              <w:rPr>
                                <w:i/>
                                <w:sz w:val="15"/>
                              </w:rPr>
                              <w:t>frequencyDomainResources</w:t>
                            </w:r>
                            <w:r w:rsidRPr="001C3F76">
                              <w:rPr>
                                <w:sz w:val="15"/>
                              </w:rPr>
                              <w:t xml:space="preserve"> in the CORESET configuration are confined within one of LBT bandwidths within the BWP corresponding to the CORESET.</w:t>
                            </w:r>
                          </w:p>
                          <w:p w14:paraId="6976F1C1" w14:textId="77777777" w:rsidR="001C3F76" w:rsidRPr="001C3F76" w:rsidRDefault="001C3F76" w:rsidP="00116C54">
                            <w:pPr>
                              <w:numPr>
                                <w:ilvl w:val="0"/>
                                <w:numId w:val="13"/>
                              </w:numPr>
                              <w:ind w:left="360"/>
                              <w:jc w:val="both"/>
                              <w:rPr>
                                <w:sz w:val="15"/>
                              </w:rPr>
                            </w:pPr>
                            <w:r w:rsidRPr="001C3F76">
                              <w:rPr>
                                <w:sz w:val="15"/>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1325628A" w14:textId="77777777" w:rsidR="001C3F76" w:rsidRPr="001C3F76" w:rsidRDefault="001C3F76" w:rsidP="00116C54">
                            <w:pPr>
                              <w:numPr>
                                <w:ilvl w:val="0"/>
                                <w:numId w:val="12"/>
                              </w:numPr>
                              <w:ind w:left="720"/>
                              <w:jc w:val="both"/>
                              <w:rPr>
                                <w:sz w:val="15"/>
                              </w:rPr>
                            </w:pPr>
                            <w:r w:rsidRPr="001C3F76">
                              <w:rPr>
                                <w:sz w:val="15"/>
                              </w:rPr>
                              <w:t>CORESET parameters other than frequency domain resource allocation pattern are identical for each of the one or more monitoring locations in the frequency domain.</w:t>
                            </w:r>
                          </w:p>
                          <w:p w14:paraId="1CA22CDD" w14:textId="24D085D4" w:rsidR="001C3F76" w:rsidRPr="001C3F76" w:rsidRDefault="001C3F76" w:rsidP="00116C54">
                            <w:pPr>
                              <w:numPr>
                                <w:ilvl w:val="0"/>
                                <w:numId w:val="13"/>
                              </w:numPr>
                              <w:ind w:left="360"/>
                              <w:jc w:val="both"/>
                              <w:rPr>
                                <w:sz w:val="15"/>
                              </w:rPr>
                            </w:pPr>
                            <w:r w:rsidRPr="001C3F76">
                              <w:rPr>
                                <w:sz w:val="15"/>
                              </w:rPr>
                              <w:t>Include this and the prior agreement on this issue in an LS to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B08077" id="_x0000_t202" coordsize="21600,21600" o:spt="202" path="m,l,21600r21600,l21600,xe">
                <v:stroke joinstyle="miter"/>
                <v:path gradientshapeok="t" o:connecttype="rect"/>
              </v:shapetype>
              <v:shape id="文本框 41" o:spid="_x0000_s1026" type="#_x0000_t202" style="position:absolute;left:0;text-align:left;margin-left:1.05pt;margin-top:19.8pt;width:449.6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">
                <v:textbox style="mso-fit-shape-to-text:t">
                  <w:txbxContent>
                    <w:p w14:paraId="5B6CE918" w14:textId="77777777" w:rsidR="001C3F76" w:rsidRPr="001C3F76" w:rsidRDefault="001C3F76" w:rsidP="001C3F76">
                      <w:pPr>
                        <w:jc w:val="both"/>
                        <w:rPr>
                          <w:sz w:val="15"/>
                        </w:rPr>
                      </w:pPr>
                      <w:r w:rsidRPr="001C3F76">
                        <w:rPr>
                          <w:sz w:val="15"/>
                          <w:highlight w:val="green"/>
                        </w:rPr>
                        <w:t>Agreement:</w:t>
                      </w:r>
                    </w:p>
                    <w:p w14:paraId="7C37329B" w14:textId="77777777" w:rsidR="001C3F76" w:rsidRPr="001C3F76" w:rsidRDefault="001C3F76" w:rsidP="001C3F76">
                      <w:pPr>
                        <w:jc w:val="both"/>
                        <w:rPr>
                          <w:sz w:val="15"/>
                          <w:lang w:eastAsia="x-none"/>
                        </w:rPr>
                      </w:pPr>
                      <w:r w:rsidRPr="001C3F76">
                        <w:rPr>
                          <w:sz w:val="15"/>
                          <w:lang w:eastAsia="x-none"/>
                        </w:rPr>
                        <w:t>For a search space set configuration associated with multiple monitoring locations in the frequency domain (as per the previous agreement defining such a search space set associated with a CORESET confined within an LBT bandwidth):</w:t>
                      </w:r>
                    </w:p>
                    <w:p w14:paraId="6C9D4BEF" w14:textId="77777777" w:rsidR="001C3F76" w:rsidRPr="001C3F76" w:rsidRDefault="001C3F76" w:rsidP="00116C54">
                      <w:pPr>
                        <w:numPr>
                          <w:ilvl w:val="0"/>
                          <w:numId w:val="13"/>
                        </w:numPr>
                        <w:ind w:left="360"/>
                        <w:jc w:val="both"/>
                        <w:rPr>
                          <w:sz w:val="15"/>
                        </w:rPr>
                      </w:pPr>
                      <w:r w:rsidRPr="001C3F76">
                        <w:rPr>
                          <w:sz w:val="15"/>
                        </w:rPr>
                        <w:t xml:space="preserve">PRBs allocated by </w:t>
                      </w:r>
                      <w:proofErr w:type="spellStart"/>
                      <w:r w:rsidRPr="001C3F76">
                        <w:rPr>
                          <w:i/>
                          <w:sz w:val="15"/>
                        </w:rPr>
                        <w:t>frequencyDomainResources</w:t>
                      </w:r>
                      <w:proofErr w:type="spellEnd"/>
                      <w:r w:rsidRPr="001C3F76">
                        <w:rPr>
                          <w:sz w:val="15"/>
                        </w:rPr>
                        <w:t xml:space="preserve"> in the CORESET configuration are confined within one of LBT bandwidths within the BWP corresponding to the CORESET.</w:t>
                      </w:r>
                    </w:p>
                    <w:p w14:paraId="6976F1C1" w14:textId="77777777" w:rsidR="001C3F76" w:rsidRPr="001C3F76" w:rsidRDefault="001C3F76" w:rsidP="00116C54">
                      <w:pPr>
                        <w:numPr>
                          <w:ilvl w:val="0"/>
                          <w:numId w:val="13"/>
                        </w:numPr>
                        <w:ind w:left="360"/>
                        <w:jc w:val="both"/>
                        <w:rPr>
                          <w:sz w:val="15"/>
                        </w:rPr>
                      </w:pPr>
                      <w:r w:rsidRPr="001C3F76">
                        <w:rPr>
                          <w:sz w:val="15"/>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1325628A" w14:textId="77777777" w:rsidR="001C3F76" w:rsidRPr="001C3F76" w:rsidRDefault="001C3F76" w:rsidP="00116C54">
                      <w:pPr>
                        <w:numPr>
                          <w:ilvl w:val="0"/>
                          <w:numId w:val="12"/>
                        </w:numPr>
                        <w:ind w:left="720"/>
                        <w:jc w:val="both"/>
                        <w:rPr>
                          <w:sz w:val="15"/>
                        </w:rPr>
                      </w:pPr>
                      <w:r w:rsidRPr="001C3F76">
                        <w:rPr>
                          <w:sz w:val="15"/>
                        </w:rPr>
                        <w:t xml:space="preserve">CORESET parameters other than frequency domain resource allocation pattern </w:t>
                      </w:r>
                      <w:proofErr w:type="gramStart"/>
                      <w:r w:rsidRPr="001C3F76">
                        <w:rPr>
                          <w:sz w:val="15"/>
                        </w:rPr>
                        <w:t>are</w:t>
                      </w:r>
                      <w:proofErr w:type="gramEnd"/>
                      <w:r w:rsidRPr="001C3F76">
                        <w:rPr>
                          <w:sz w:val="15"/>
                        </w:rPr>
                        <w:t xml:space="preserve"> identical for each of the one or more monitoring locations in the frequency domain.</w:t>
                      </w:r>
                    </w:p>
                    <w:p w14:paraId="1CA22CDD" w14:textId="24D085D4" w:rsidR="001C3F76" w:rsidRPr="001C3F76" w:rsidRDefault="001C3F76" w:rsidP="00116C54">
                      <w:pPr>
                        <w:numPr>
                          <w:ilvl w:val="0"/>
                          <w:numId w:val="13"/>
                        </w:numPr>
                        <w:ind w:left="360"/>
                        <w:jc w:val="both"/>
                        <w:rPr>
                          <w:sz w:val="15"/>
                        </w:rPr>
                      </w:pPr>
                      <w:r w:rsidRPr="001C3F76">
                        <w:rPr>
                          <w:sz w:val="15"/>
                        </w:rPr>
                        <w:t xml:space="preserve">Include this and the prior agreement on this issue in </w:t>
                      </w:r>
                      <w:proofErr w:type="gramStart"/>
                      <w:r w:rsidRPr="001C3F76">
                        <w:rPr>
                          <w:sz w:val="15"/>
                        </w:rPr>
                        <w:t>an</w:t>
                      </w:r>
                      <w:proofErr w:type="gramEnd"/>
                      <w:r w:rsidRPr="001C3F76">
                        <w:rPr>
                          <w:sz w:val="15"/>
                        </w:rPr>
                        <w:t xml:space="preserve"> LS to RAN2</w:t>
                      </w:r>
                    </w:p>
                  </w:txbxContent>
                </v:textbox>
                <w10:wrap type="square" anchorx="margin"/>
              </v:shape>
            </w:pict>
          </mc:Fallback>
        </mc:AlternateContent>
      </w:r>
      <w:r w:rsidRPr="001C3F76">
        <w:rPr>
          <w:rFonts w:ascii="Times New Roman" w:hAnsi="Times New Roman" w:hint="eastAsia"/>
        </w:rPr>
        <w:t>I</w:t>
      </w:r>
      <w:r w:rsidRPr="001C3F76">
        <w:rPr>
          <w:rFonts w:ascii="Times New Roman" w:hAnsi="Times New Roman"/>
        </w:rPr>
        <w:t xml:space="preserve">n RAN1#98bis meeting, </w:t>
      </w:r>
      <w:r>
        <w:rPr>
          <w:rFonts w:ascii="Times New Roman" w:hAnsi="Times New Roman"/>
        </w:rPr>
        <w:t>the following agreement is made:</w:t>
      </w:r>
    </w:p>
    <w:p w14:paraId="4493279E" w14:textId="6DE6C0F9" w:rsidR="001C3F76" w:rsidRPr="001C3F76" w:rsidRDefault="001C3F76" w:rsidP="00D30EE8">
      <w:pPr>
        <w:pStyle w:val="a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owever, this is not implemented in TS 38.213 regarding PDCCH candidate calculation. Therefore, the following proposal is made to capture this agreement.</w:t>
      </w:r>
    </w:p>
    <w:p w14:paraId="487E2A79" w14:textId="59174CB6" w:rsidR="001C3F76" w:rsidRPr="001C3F76" w:rsidRDefault="001C3F76" w:rsidP="00D30EE8">
      <w:pPr>
        <w:pStyle w:val="a0"/>
        <w:rPr>
          <w:rFonts w:ascii="Times New Roman" w:hAnsi="Times New Roman"/>
        </w:rPr>
      </w:pPr>
      <w:bookmarkStart w:id="4" w:name="_Ref37239152"/>
      <w:r w:rsidRPr="00544AA6">
        <w:rPr>
          <w:rFonts w:ascii="Times New Roman" w:hAnsi="Times New Roman"/>
          <w:b/>
        </w:rPr>
        <w:t>P</w:t>
      </w:r>
      <w:r w:rsidRPr="00544AA6">
        <w:rPr>
          <w:rFonts w:ascii="Times New Roman" w:hAnsi="Times New Roman" w:hint="eastAsia"/>
          <w:b/>
        </w:rPr>
        <w:t xml:space="preserve">roposal </w:t>
      </w:r>
      <w:r w:rsidRPr="00544AA6">
        <w:rPr>
          <w:rFonts w:ascii="Times New Roman" w:hAnsi="Times New Roman"/>
          <w:b/>
        </w:rPr>
        <w:fldChar w:fldCharType="begin"/>
      </w:r>
      <w:r w:rsidRPr="00544AA6">
        <w:rPr>
          <w:rFonts w:ascii="Times New Roman" w:hAnsi="Times New Roman"/>
          <w:b/>
        </w:rPr>
        <w:instrText xml:space="preserve"> </w:instrText>
      </w:r>
      <w:r w:rsidRPr="00544AA6">
        <w:rPr>
          <w:rFonts w:ascii="Times New Roman" w:hAnsi="Times New Roman" w:hint="eastAsia"/>
          <w:b/>
        </w:rPr>
        <w:instrText>SEQ Proposal \* ARABIC</w:instrText>
      </w:r>
      <w:r w:rsidRPr="00544AA6">
        <w:rPr>
          <w:rFonts w:ascii="Times New Roman" w:hAnsi="Times New Roman"/>
          <w:b/>
        </w:rPr>
        <w:instrText xml:space="preserve"> </w:instrText>
      </w:r>
      <w:r w:rsidRPr="00544AA6">
        <w:rPr>
          <w:rFonts w:ascii="Times New Roman" w:hAnsi="Times New Roman"/>
          <w:b/>
        </w:rPr>
        <w:fldChar w:fldCharType="separate"/>
      </w:r>
      <w:r>
        <w:rPr>
          <w:rFonts w:ascii="Times New Roman" w:hAnsi="Times New Roman"/>
          <w:b/>
          <w:noProof/>
        </w:rPr>
        <w:t>2</w:t>
      </w:r>
      <w:r w:rsidRPr="00544AA6">
        <w:rPr>
          <w:rFonts w:ascii="Times New Roman" w:hAnsi="Times New Roman"/>
          <w:b/>
        </w:rPr>
        <w:fldChar w:fldCharType="end"/>
      </w:r>
      <w:r w:rsidRPr="00544AA6">
        <w:rPr>
          <w:rFonts w:ascii="Times New Roman" w:hAnsi="Times New Roman" w:hint="eastAsia"/>
          <w:b/>
        </w:rPr>
        <w:t>:</w:t>
      </w:r>
      <w:r w:rsidRPr="00544AA6">
        <w:rPr>
          <w:rFonts w:ascii="Times New Roman" w:hAnsi="Times New Roman"/>
          <w:b/>
        </w:rPr>
        <w:t xml:space="preserve"> </w:t>
      </w:r>
      <w:r>
        <w:rPr>
          <w:rFonts w:ascii="Times New Roman" w:hAnsi="Times New Roman"/>
          <w:b/>
        </w:rPr>
        <w:t xml:space="preserve">RAN1 adopts the following TP2 for SS set configuration with </w:t>
      </w:r>
      <w:r w:rsidRPr="001C3F76">
        <w:rPr>
          <w:rFonts w:ascii="Times New Roman" w:hAnsi="Times New Roman"/>
          <w:b/>
          <w:i/>
        </w:rPr>
        <w:t>freqMonitorLocations-r16</w:t>
      </w:r>
      <w:r>
        <w:rPr>
          <w:rFonts w:ascii="Times New Roman" w:hAnsi="Times New Roman"/>
          <w:b/>
        </w:rPr>
        <w:t>.</w:t>
      </w:r>
      <w:bookmarkEnd w:id="4"/>
    </w:p>
    <w:p w14:paraId="24D5D326" w14:textId="7F06E52E" w:rsidR="00133121" w:rsidRPr="006201E5" w:rsidRDefault="009D4252" w:rsidP="00133121">
      <w:pPr>
        <w:pStyle w:val="a0"/>
        <w:rPr>
          <w:rFonts w:ascii="Times New Roman" w:hAnsi="Times New Roman"/>
        </w:rPr>
      </w:pPr>
      <w:r>
        <w:t xml:space="preserve">------------------------------------------ Start TP2 for Section </w:t>
      </w:r>
      <w:r w:rsidR="00D30EE8">
        <w:t>10.1</w:t>
      </w:r>
      <w:r>
        <w:t xml:space="preserve"> of TS 38.21</w:t>
      </w:r>
      <w:r w:rsidR="00D30EE8">
        <w:t>3</w:t>
      </w:r>
      <w:r>
        <w:t xml:space="preserve"> ----------------------------------------</w:t>
      </w:r>
    </w:p>
    <w:p w14:paraId="6F76CA75" w14:textId="55BF0DE3" w:rsidR="00EF4C28" w:rsidRPr="00E63580" w:rsidRDefault="00EF4C28" w:rsidP="00D30EE8">
      <w:pPr>
        <w:jc w:val="both"/>
        <w:rPr>
          <w:rFonts w:ascii="Times New Roman" w:hAnsi="Times New Roman"/>
          <w:sz w:val="18"/>
        </w:rPr>
      </w:pPr>
      <w:bookmarkStart w:id="5" w:name="PP12"/>
      <w:r w:rsidRPr="00E63580">
        <w:rPr>
          <w:rFonts w:ascii="Times New Roman" w:hAnsi="Times New Roman"/>
          <w:sz w:val="18"/>
        </w:rPr>
        <w:t xml:space="preserve">For a search space set </w:t>
      </w:r>
      <w:r w:rsidRPr="00E63580">
        <w:rPr>
          <w:rFonts w:ascii="Times New Roman" w:hAnsi="Times New Roman"/>
          <w:noProof/>
          <w:position w:val="-6"/>
          <w:sz w:val="18"/>
          <w:lang w:eastAsia="zh-CN"/>
        </w:rPr>
        <w:drawing>
          <wp:inline distT="0" distB="0" distL="0" distR="0" wp14:anchorId="132D7EBF" wp14:editId="6B7623A9">
            <wp:extent cx="104140" cy="1257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r w:rsidRPr="00E63580">
        <w:rPr>
          <w:rFonts w:ascii="Times New Roman" w:hAnsi="Times New Roman"/>
          <w:sz w:val="18"/>
        </w:rPr>
        <w:t xml:space="preserve"> associated with CORESET </w:t>
      </w:r>
      <w:r w:rsidRPr="00E63580">
        <w:rPr>
          <w:rFonts w:ascii="Times New Roman" w:hAnsi="Times New Roman"/>
          <w:noProof/>
          <w:position w:val="-10"/>
          <w:sz w:val="18"/>
          <w:lang w:eastAsia="zh-CN"/>
        </w:rPr>
        <w:drawing>
          <wp:inline distT="0" distB="0" distL="0" distR="0" wp14:anchorId="53642A65" wp14:editId="44176CBB">
            <wp:extent cx="98903" cy="142361"/>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33" cy="150753"/>
                    </a:xfrm>
                    <a:prstGeom prst="rect">
                      <a:avLst/>
                    </a:prstGeom>
                    <a:noFill/>
                    <a:ln>
                      <a:noFill/>
                    </a:ln>
                  </pic:spPr>
                </pic:pic>
              </a:graphicData>
            </a:graphic>
          </wp:inline>
        </w:drawing>
      </w:r>
      <w:r w:rsidR="00AF5CB3">
        <w:rPr>
          <w:rFonts w:ascii="Times New Roman" w:hAnsi="Times New Roman"/>
          <w:sz w:val="18"/>
        </w:rPr>
        <w:t xml:space="preserve"> </w:t>
      </w:r>
      <w:r w:rsidR="00AF5CB3" w:rsidRPr="00BA4B01">
        <w:rPr>
          <w:rFonts w:ascii="Times New Roman" w:hAnsi="Times New Roman"/>
          <w:color w:val="FF0000"/>
          <w:sz w:val="18"/>
          <w:u w:val="single"/>
        </w:rPr>
        <w:t>and configured with</w:t>
      </w:r>
      <w:r w:rsidR="00AF5CB3" w:rsidRPr="00BA4B01">
        <w:rPr>
          <w:color w:val="FF0000"/>
          <w:u w:val="single"/>
        </w:rPr>
        <w:t xml:space="preserve"> </w:t>
      </w:r>
      <w:r w:rsidR="00AF5CB3" w:rsidRPr="00BA4B01">
        <w:rPr>
          <w:rFonts w:ascii="Times New Roman" w:hAnsi="Times New Roman"/>
          <w:i/>
          <w:color w:val="FF0000"/>
          <w:sz w:val="18"/>
          <w:u w:val="single"/>
        </w:rPr>
        <w:t>freqMonitorLocations-r16</w:t>
      </w:r>
      <w:r w:rsidRPr="00E63580">
        <w:rPr>
          <w:rFonts w:ascii="Times New Roman" w:hAnsi="Times New Roman"/>
          <w:sz w:val="18"/>
        </w:rPr>
        <w:t xml:space="preserve">, </w:t>
      </w:r>
      <w:r w:rsidR="00BA4B01" w:rsidRPr="00BA4B01">
        <w:rPr>
          <w:rFonts w:ascii="Times New Roman" w:hAnsi="Times New Roman"/>
          <w:color w:val="FF0000"/>
          <w:sz w:val="18"/>
          <w:u w:val="single"/>
        </w:rPr>
        <w:t xml:space="preserve">it comprises of </w:t>
      </w:r>
      <w:r w:rsidR="00BA4B01" w:rsidRPr="00BA4B01">
        <w:rPr>
          <w:rFonts w:ascii="Times New Roman" w:hAnsi="Times New Roman"/>
          <w:i/>
          <w:color w:val="FF0000"/>
          <w:sz w:val="18"/>
          <w:u w:val="single"/>
        </w:rPr>
        <w:t>K</w:t>
      </w:r>
      <w:r w:rsidR="00BA4B01" w:rsidRPr="00BA4B01">
        <w:rPr>
          <w:rFonts w:ascii="Times New Roman" w:hAnsi="Times New Roman"/>
          <w:color w:val="FF0000"/>
          <w:sz w:val="18"/>
          <w:u w:val="single"/>
        </w:rPr>
        <w:t xml:space="preserve"> sub</w:t>
      </w:r>
      <w:r w:rsidR="00BA4B01">
        <w:rPr>
          <w:rFonts w:ascii="Times New Roman" w:hAnsi="Times New Roman"/>
          <w:color w:val="FF0000"/>
          <w:sz w:val="18"/>
          <w:u w:val="single"/>
        </w:rPr>
        <w:t xml:space="preserve"> </w:t>
      </w:r>
      <w:r w:rsidR="00BA4B01" w:rsidRPr="00BA4B01">
        <w:rPr>
          <w:rFonts w:ascii="Times New Roman" w:hAnsi="Times New Roman"/>
          <w:color w:val="FF0000"/>
          <w:sz w:val="18"/>
          <w:u w:val="single"/>
        </w:rPr>
        <w:t xml:space="preserve">search space set where </w:t>
      </w:r>
      <w:r w:rsidR="00BA4B01" w:rsidRPr="00BA4B01">
        <w:rPr>
          <w:rFonts w:ascii="Times New Roman" w:hAnsi="Times New Roman"/>
          <w:i/>
          <w:color w:val="FF0000"/>
          <w:sz w:val="18"/>
          <w:u w:val="single"/>
        </w:rPr>
        <w:t>K</w:t>
      </w:r>
      <w:r w:rsidR="00BA4B01" w:rsidRPr="00BA4B01">
        <w:rPr>
          <w:rFonts w:ascii="Times New Roman" w:hAnsi="Times New Roman"/>
          <w:color w:val="FF0000"/>
          <w:sz w:val="18"/>
          <w:u w:val="single"/>
        </w:rPr>
        <w:t xml:space="preserve"> is the number of RB sets indicated as ‘1’ by</w:t>
      </w:r>
      <w:r w:rsidR="00BA4B01">
        <w:rPr>
          <w:rFonts w:ascii="Times New Roman" w:hAnsi="Times New Roman"/>
          <w:sz w:val="18"/>
        </w:rPr>
        <w:t xml:space="preserve"> </w:t>
      </w:r>
      <w:r w:rsidR="00BA4B01" w:rsidRPr="00BA4B01">
        <w:rPr>
          <w:rFonts w:ascii="Times New Roman" w:hAnsi="Times New Roman"/>
          <w:i/>
          <w:color w:val="FF0000"/>
          <w:sz w:val="18"/>
          <w:u w:val="single"/>
        </w:rPr>
        <w:t>freqMonitorLocations-r16</w:t>
      </w:r>
      <w:r w:rsidR="00BA4B01">
        <w:rPr>
          <w:rFonts w:ascii="Times New Roman" w:hAnsi="Times New Roman"/>
          <w:i/>
          <w:color w:val="FF0000"/>
          <w:sz w:val="18"/>
          <w:u w:val="single"/>
        </w:rPr>
        <w:t xml:space="preserve">. </w:t>
      </w:r>
      <w:r w:rsidR="00D30EE8">
        <w:rPr>
          <w:rFonts w:ascii="Times New Roman" w:hAnsi="Times New Roman"/>
          <w:color w:val="FF0000"/>
          <w:sz w:val="18"/>
          <w:u w:val="single"/>
        </w:rPr>
        <w:t xml:space="preserve">For each sub search space set, CCE is indexed according to CORESET </w:t>
      </w:r>
      <w:r w:rsidR="00D30EE8" w:rsidRPr="00D30EE8">
        <w:rPr>
          <w:rFonts w:ascii="Times New Roman" w:hAnsi="Times New Roman"/>
          <w:b/>
          <w:i/>
          <w:color w:val="FF0000"/>
          <w:sz w:val="18"/>
          <w:u w:val="single"/>
        </w:rPr>
        <w:t>p</w:t>
      </w:r>
      <w:r w:rsidR="00D30EE8">
        <w:rPr>
          <w:rFonts w:ascii="Times New Roman" w:hAnsi="Times New Roman"/>
          <w:color w:val="FF0000"/>
          <w:sz w:val="18"/>
          <w:u w:val="single"/>
        </w:rPr>
        <w:t xml:space="preserve"> configuration in each RB set respectively. </w:t>
      </w:r>
      <w:r w:rsidR="00BA4B01">
        <w:rPr>
          <w:rFonts w:ascii="Times New Roman" w:hAnsi="Times New Roman"/>
          <w:color w:val="FF0000"/>
          <w:sz w:val="18"/>
          <w:u w:val="single"/>
        </w:rPr>
        <w:t xml:space="preserve">For a </w:t>
      </w:r>
      <w:r w:rsidR="00BA4B01" w:rsidRPr="00BA4B01">
        <w:rPr>
          <w:rFonts w:ascii="Times New Roman" w:hAnsi="Times New Roman"/>
          <w:color w:val="FF0000"/>
          <w:sz w:val="18"/>
          <w:u w:val="single"/>
        </w:rPr>
        <w:t xml:space="preserve">search space set </w:t>
      </w:r>
      <w:r w:rsidR="00BA4B01" w:rsidRPr="00BA4B01">
        <w:rPr>
          <w:rFonts w:ascii="Times New Roman" w:hAnsi="Times New Roman"/>
          <w:i/>
          <w:color w:val="FF0000"/>
          <w:sz w:val="18"/>
          <w:u w:val="single"/>
        </w:rPr>
        <w:t>s</w:t>
      </w:r>
      <w:r w:rsidR="00BA4B01" w:rsidRPr="00BA4B01">
        <w:rPr>
          <w:rFonts w:ascii="Times New Roman" w:hAnsi="Times New Roman"/>
          <w:color w:val="FF0000"/>
          <w:sz w:val="18"/>
          <w:u w:val="single"/>
        </w:rPr>
        <w:t xml:space="preserve"> associated with CORESET </w:t>
      </w:r>
      <w:r w:rsidR="00BA4B01" w:rsidRPr="00BA4B01">
        <w:rPr>
          <w:rFonts w:ascii="Times New Roman" w:hAnsi="Times New Roman"/>
          <w:b/>
          <w:i/>
          <w:color w:val="FF0000"/>
          <w:sz w:val="18"/>
          <w:u w:val="single"/>
        </w:rPr>
        <w:t>p</w:t>
      </w:r>
      <w:r w:rsidR="00BA4B01">
        <w:rPr>
          <w:rFonts w:ascii="Times New Roman" w:hAnsi="Times New Roman"/>
          <w:b/>
          <w:i/>
          <w:color w:val="FF0000"/>
          <w:sz w:val="18"/>
          <w:u w:val="single"/>
        </w:rPr>
        <w:t xml:space="preserve"> </w:t>
      </w:r>
      <w:r w:rsidR="00BA4B01" w:rsidRPr="00BA4B01">
        <w:rPr>
          <w:rFonts w:ascii="Times New Roman" w:hAnsi="Times New Roman"/>
          <w:color w:val="FF0000"/>
          <w:sz w:val="18"/>
          <w:u w:val="single"/>
        </w:rPr>
        <w:t>without configuration of</w:t>
      </w:r>
      <w:r w:rsidR="00BA4B01">
        <w:rPr>
          <w:rFonts w:ascii="Times New Roman" w:hAnsi="Times New Roman"/>
          <w:color w:val="FF0000"/>
          <w:sz w:val="18"/>
          <w:u w:val="single"/>
        </w:rPr>
        <w:t xml:space="preserve"> </w:t>
      </w:r>
      <w:r w:rsidR="00BA4B01" w:rsidRPr="00BA4B01">
        <w:rPr>
          <w:rFonts w:ascii="Times New Roman" w:hAnsi="Times New Roman"/>
          <w:i/>
          <w:color w:val="FF0000"/>
          <w:sz w:val="18"/>
          <w:u w:val="single"/>
        </w:rPr>
        <w:t>freqMonitorLocations-r16</w:t>
      </w:r>
      <w:r w:rsidR="00BA4B01">
        <w:rPr>
          <w:rFonts w:ascii="Times New Roman" w:hAnsi="Times New Roman"/>
          <w:i/>
          <w:color w:val="FF0000"/>
          <w:sz w:val="18"/>
          <w:u w:val="single"/>
        </w:rPr>
        <w:t>,</w:t>
      </w:r>
      <w:r w:rsidR="00BA4B01" w:rsidRPr="00BA4B01">
        <w:rPr>
          <w:rFonts w:ascii="Times New Roman" w:hAnsi="Times New Roman"/>
          <w:color w:val="FF0000"/>
          <w:sz w:val="18"/>
          <w:u w:val="single"/>
        </w:rPr>
        <w:t xml:space="preserve"> or</w:t>
      </w:r>
      <w:r w:rsidR="00BA4B01">
        <w:rPr>
          <w:rFonts w:ascii="Times New Roman" w:hAnsi="Times New Roman"/>
          <w:i/>
          <w:color w:val="FF0000"/>
          <w:sz w:val="18"/>
          <w:u w:val="single"/>
        </w:rPr>
        <w:t xml:space="preserve"> </w:t>
      </w:r>
      <w:r w:rsidR="00BA4B01">
        <w:rPr>
          <w:rFonts w:ascii="Times New Roman" w:hAnsi="Times New Roman"/>
          <w:color w:val="FF0000"/>
          <w:sz w:val="18"/>
          <w:u w:val="single"/>
        </w:rPr>
        <w:t>a sub search space set</w:t>
      </w:r>
      <w:r w:rsidR="00D30EE8">
        <w:rPr>
          <w:rFonts w:ascii="Times New Roman" w:hAnsi="Times New Roman"/>
          <w:color w:val="FF0000"/>
          <w:sz w:val="18"/>
          <w:u w:val="single"/>
        </w:rPr>
        <w:t xml:space="preserve"> as defined above,</w:t>
      </w:r>
      <w:r w:rsidR="00BA4B01">
        <w:rPr>
          <w:rFonts w:ascii="Times New Roman" w:hAnsi="Times New Roman"/>
          <w:b/>
          <w:i/>
          <w:color w:val="FF0000"/>
          <w:sz w:val="18"/>
          <w:u w:val="single"/>
        </w:rPr>
        <w:t xml:space="preserve"> </w:t>
      </w:r>
      <w:r w:rsidRPr="00E63580">
        <w:rPr>
          <w:rFonts w:ascii="Times New Roman" w:hAnsi="Times New Roman"/>
          <w:sz w:val="18"/>
        </w:rPr>
        <w:t xml:space="preserve">the CCE indexes for aggregation level </w:t>
      </w:r>
      <w:r w:rsidRPr="00E63580">
        <w:rPr>
          <w:rFonts w:ascii="Times New Roman" w:hAnsi="Times New Roman"/>
          <w:noProof/>
          <w:position w:val="-4"/>
          <w:sz w:val="18"/>
          <w:lang w:eastAsia="zh-CN"/>
        </w:rPr>
        <w:drawing>
          <wp:inline distT="0" distB="0" distL="0" distR="0" wp14:anchorId="44BB49B2" wp14:editId="7C7611F0">
            <wp:extent cx="125730" cy="142240"/>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 cy="142240"/>
                    </a:xfrm>
                    <a:prstGeom prst="rect">
                      <a:avLst/>
                    </a:prstGeom>
                    <a:noFill/>
                    <a:ln>
                      <a:noFill/>
                    </a:ln>
                  </pic:spPr>
                </pic:pic>
              </a:graphicData>
            </a:graphic>
          </wp:inline>
        </w:drawing>
      </w:r>
      <w:r w:rsidRPr="00E63580">
        <w:rPr>
          <w:rFonts w:ascii="Times New Roman" w:hAnsi="Times New Roman"/>
          <w:sz w:val="18"/>
        </w:rPr>
        <w:t xml:space="preserve"> corresponding to PDCCH candidate </w:t>
      </w:r>
      <w:r w:rsidRPr="00E63580">
        <w:rPr>
          <w:rFonts w:ascii="Times New Roman" w:hAnsi="Times New Roman"/>
          <w:noProof/>
          <w:position w:val="-14"/>
          <w:sz w:val="18"/>
          <w:lang w:eastAsia="zh-CN"/>
        </w:rPr>
        <w:drawing>
          <wp:inline distT="0" distB="0" distL="0" distR="0" wp14:anchorId="600705CF" wp14:editId="29589892">
            <wp:extent cx="295910" cy="235585"/>
            <wp:effectExtent l="0" t="0" r="889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910" cy="235585"/>
                    </a:xfrm>
                    <a:prstGeom prst="rect">
                      <a:avLst/>
                    </a:prstGeom>
                    <a:noFill/>
                    <a:ln>
                      <a:noFill/>
                    </a:ln>
                  </pic:spPr>
                </pic:pic>
              </a:graphicData>
            </a:graphic>
          </wp:inline>
        </w:drawing>
      </w:r>
      <w:r w:rsidRPr="00E63580">
        <w:rPr>
          <w:rFonts w:ascii="Times New Roman" w:hAnsi="Times New Roman"/>
          <w:sz w:val="18"/>
        </w:rPr>
        <w:t xml:space="preserve"> of the search space set in slot </w:t>
      </w:r>
      <w:r w:rsidRPr="00E63580">
        <w:rPr>
          <w:rFonts w:ascii="Times New Roman" w:hAnsi="Times New Roman"/>
          <w:noProof/>
          <w:position w:val="-12"/>
          <w:sz w:val="18"/>
          <w:lang w:eastAsia="zh-CN"/>
        </w:rPr>
        <w:drawing>
          <wp:inline distT="0" distB="0" distL="0" distR="0" wp14:anchorId="0876AF5E" wp14:editId="54286A7B">
            <wp:extent cx="273685" cy="23558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685" cy="235585"/>
                    </a:xfrm>
                    <a:prstGeom prst="rect">
                      <a:avLst/>
                    </a:prstGeom>
                    <a:noFill/>
                    <a:ln>
                      <a:noFill/>
                    </a:ln>
                  </pic:spPr>
                </pic:pic>
              </a:graphicData>
            </a:graphic>
          </wp:inline>
        </w:drawing>
      </w:r>
      <w:r w:rsidRPr="00E63580">
        <w:rPr>
          <w:rFonts w:ascii="Times New Roman" w:hAnsi="Times New Roman"/>
          <w:sz w:val="18"/>
        </w:rPr>
        <w:t xml:space="preserve"> for an active DL BWP of a serving cell corresponding to carrier indicator field value </w:t>
      </w:r>
      <w:r w:rsidRPr="00E63580">
        <w:rPr>
          <w:rFonts w:ascii="Times New Roman" w:hAnsi="Times New Roman"/>
          <w:noProof/>
          <w:position w:val="-10"/>
          <w:sz w:val="18"/>
          <w:lang w:eastAsia="zh-CN"/>
        </w:rPr>
        <w:drawing>
          <wp:inline distT="0" distB="0" distL="0" distR="0" wp14:anchorId="4C326278" wp14:editId="74D63540">
            <wp:extent cx="180975" cy="1809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63580">
        <w:rPr>
          <w:rFonts w:ascii="Times New Roman" w:hAnsi="Times New Roman"/>
          <w:sz w:val="18"/>
        </w:rPr>
        <w:t xml:space="preserve"> are given by </w:t>
      </w:r>
    </w:p>
    <w:p w14:paraId="3B41EE27" w14:textId="3AFDBE69" w:rsidR="00EF4C28" w:rsidRPr="00E63580" w:rsidRDefault="00EF4C28" w:rsidP="00EF4C28">
      <w:pPr>
        <w:pStyle w:val="EQ"/>
        <w:jc w:val="center"/>
        <w:rPr>
          <w:rFonts w:ascii="Times New Roman" w:hAnsi="Times New Roman"/>
          <w:sz w:val="18"/>
        </w:rPr>
      </w:pPr>
      <w:r w:rsidRPr="00E63580">
        <w:rPr>
          <w:rFonts w:ascii="Times New Roman" w:hAnsi="Times New Roman"/>
          <w:noProof/>
          <w:position w:val="-34"/>
          <w:sz w:val="18"/>
          <w:lang w:val="en-US" w:eastAsia="zh-CN"/>
        </w:rPr>
        <w:lastRenderedPageBreak/>
        <w:drawing>
          <wp:inline distT="0" distB="0" distL="0" distR="0" wp14:anchorId="43F86DB6" wp14:editId="035A51B8">
            <wp:extent cx="2924175" cy="5257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4175" cy="525780"/>
                    </a:xfrm>
                    <a:prstGeom prst="rect">
                      <a:avLst/>
                    </a:prstGeom>
                    <a:noFill/>
                    <a:ln>
                      <a:noFill/>
                    </a:ln>
                  </pic:spPr>
                </pic:pic>
              </a:graphicData>
            </a:graphic>
          </wp:inline>
        </w:drawing>
      </w:r>
    </w:p>
    <w:p w14:paraId="6B5A2D8D" w14:textId="77777777" w:rsidR="00EF4C28" w:rsidRPr="00E63580" w:rsidRDefault="00EF4C28" w:rsidP="00EF4C28">
      <w:pPr>
        <w:rPr>
          <w:rFonts w:ascii="Times New Roman" w:hAnsi="Times New Roman"/>
          <w:sz w:val="18"/>
        </w:rPr>
      </w:pPr>
      <w:r w:rsidRPr="00E63580">
        <w:rPr>
          <w:rFonts w:ascii="Times New Roman" w:hAnsi="Times New Roman"/>
          <w:sz w:val="18"/>
        </w:rPr>
        <w:t>where</w:t>
      </w:r>
    </w:p>
    <w:p w14:paraId="7D925CD3" w14:textId="0B4F8013" w:rsidR="00EF4C28" w:rsidRPr="00E63580" w:rsidRDefault="00EF4C28" w:rsidP="00EF4C28">
      <w:pPr>
        <w:rPr>
          <w:rFonts w:ascii="Times New Roman" w:hAnsi="Times New Roman"/>
          <w:sz w:val="18"/>
        </w:rPr>
      </w:pPr>
      <w:r w:rsidRPr="00E63580">
        <w:rPr>
          <w:rFonts w:ascii="Times New Roman" w:hAnsi="Times New Roman"/>
          <w:sz w:val="18"/>
        </w:rPr>
        <w:t xml:space="preserve">for any CSS, </w:t>
      </w:r>
      <w:r w:rsidRPr="00E63580">
        <w:rPr>
          <w:rFonts w:ascii="Times New Roman" w:hAnsi="Times New Roman"/>
          <w:noProof/>
          <w:position w:val="-16"/>
          <w:sz w:val="18"/>
          <w:lang w:eastAsia="zh-CN"/>
        </w:rPr>
        <w:drawing>
          <wp:inline distT="0" distB="0" distL="0" distR="0" wp14:anchorId="2C95A9F9" wp14:editId="2A1BE5E6">
            <wp:extent cx="492760" cy="246380"/>
            <wp:effectExtent l="0" t="0" r="2540"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2760" cy="246380"/>
                    </a:xfrm>
                    <a:prstGeom prst="rect">
                      <a:avLst/>
                    </a:prstGeom>
                    <a:noFill/>
                    <a:ln>
                      <a:noFill/>
                    </a:ln>
                  </pic:spPr>
                </pic:pic>
              </a:graphicData>
            </a:graphic>
          </wp:inline>
        </w:drawing>
      </w:r>
      <w:r w:rsidRPr="00E63580">
        <w:rPr>
          <w:rFonts w:ascii="Times New Roman" w:hAnsi="Times New Roman"/>
          <w:sz w:val="18"/>
        </w:rPr>
        <w:t xml:space="preserve">; </w:t>
      </w:r>
    </w:p>
    <w:p w14:paraId="73000C5A" w14:textId="4603F24C" w:rsidR="00EF4C28" w:rsidRPr="00E63580" w:rsidRDefault="00EF4C28" w:rsidP="00EF4C28">
      <w:pPr>
        <w:rPr>
          <w:rFonts w:ascii="Times New Roman" w:hAnsi="Times New Roman"/>
          <w:sz w:val="18"/>
        </w:rPr>
      </w:pPr>
      <w:r w:rsidRPr="00E63580">
        <w:rPr>
          <w:rFonts w:ascii="Times New Roman" w:hAnsi="Times New Roman"/>
          <w:sz w:val="18"/>
        </w:rPr>
        <w:t xml:space="preserve">for a USS, </w:t>
      </w:r>
      <w:r w:rsidRPr="00E63580">
        <w:rPr>
          <w:rFonts w:ascii="Times New Roman" w:hAnsi="Times New Roman"/>
          <w:noProof/>
          <w:position w:val="-16"/>
          <w:sz w:val="18"/>
          <w:lang w:eastAsia="zh-CN"/>
        </w:rPr>
        <w:drawing>
          <wp:inline distT="0" distB="0" distL="0" distR="0" wp14:anchorId="04A67A8B" wp14:editId="7C9A4988">
            <wp:extent cx="1374140" cy="2355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4140" cy="235585"/>
                    </a:xfrm>
                    <a:prstGeom prst="rect">
                      <a:avLst/>
                    </a:prstGeom>
                    <a:noFill/>
                    <a:ln>
                      <a:noFill/>
                    </a:ln>
                  </pic:spPr>
                </pic:pic>
              </a:graphicData>
            </a:graphic>
          </wp:inline>
        </w:drawing>
      </w:r>
      <w:r w:rsidRPr="00E63580">
        <w:rPr>
          <w:rFonts w:ascii="Times New Roman" w:hAnsi="Times New Roman"/>
          <w:sz w:val="18"/>
        </w:rPr>
        <w:t xml:space="preserve">, </w:t>
      </w:r>
      <w:r w:rsidRPr="00E63580">
        <w:rPr>
          <w:rFonts w:ascii="Times New Roman" w:hAnsi="Times New Roman"/>
          <w:noProof/>
          <w:position w:val="-12"/>
          <w:sz w:val="18"/>
          <w:lang w:eastAsia="zh-CN"/>
        </w:rPr>
        <w:drawing>
          <wp:inline distT="0" distB="0" distL="0" distR="0" wp14:anchorId="01B7EC1C" wp14:editId="644B93C2">
            <wp:extent cx="821055" cy="2355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1055" cy="235585"/>
                    </a:xfrm>
                    <a:prstGeom prst="rect">
                      <a:avLst/>
                    </a:prstGeom>
                    <a:noFill/>
                    <a:ln>
                      <a:noFill/>
                    </a:ln>
                  </pic:spPr>
                </pic:pic>
              </a:graphicData>
            </a:graphic>
          </wp:inline>
        </w:drawing>
      </w:r>
      <w:r w:rsidRPr="00E63580">
        <w:rPr>
          <w:rFonts w:ascii="Times New Roman" w:hAnsi="Times New Roman"/>
          <w:sz w:val="18"/>
        </w:rPr>
        <w:t xml:space="preserve">, </w:t>
      </w:r>
      <w:r w:rsidRPr="00E63580">
        <w:rPr>
          <w:rFonts w:ascii="Times New Roman" w:hAnsi="Times New Roman"/>
          <w:noProof/>
          <w:position w:val="-12"/>
          <w:sz w:val="18"/>
          <w:lang w:eastAsia="zh-CN"/>
        </w:rPr>
        <w:drawing>
          <wp:inline distT="0" distB="0" distL="0" distR="0" wp14:anchorId="07E997D6" wp14:editId="256EBAFF">
            <wp:extent cx="640715" cy="219075"/>
            <wp:effectExtent l="0" t="0" r="698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715" cy="219075"/>
                    </a:xfrm>
                    <a:prstGeom prst="rect">
                      <a:avLst/>
                    </a:prstGeom>
                    <a:noFill/>
                    <a:ln>
                      <a:noFill/>
                    </a:ln>
                  </pic:spPr>
                </pic:pic>
              </a:graphicData>
            </a:graphic>
          </wp:inline>
        </w:drawing>
      </w:r>
      <w:r w:rsidRPr="00E63580">
        <w:rPr>
          <w:rFonts w:ascii="Times New Roman" w:hAnsi="Times New Roman"/>
          <w:sz w:val="18"/>
        </w:rPr>
        <w:t xml:space="preserve"> for </w:t>
      </w:r>
      <w:r w:rsidRPr="00E63580">
        <w:rPr>
          <w:rFonts w:ascii="Times New Roman" w:hAnsi="Times New Roman"/>
          <w:noProof/>
          <w:position w:val="-10"/>
          <w:sz w:val="18"/>
          <w:lang w:eastAsia="zh-CN"/>
        </w:rPr>
        <w:drawing>
          <wp:inline distT="0" distB="0" distL="0" distR="0" wp14:anchorId="27729FEC" wp14:editId="46670330">
            <wp:extent cx="678815" cy="202565"/>
            <wp:effectExtent l="0" t="0" r="6985"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8815" cy="202565"/>
                    </a:xfrm>
                    <a:prstGeom prst="rect">
                      <a:avLst/>
                    </a:prstGeom>
                    <a:noFill/>
                    <a:ln>
                      <a:noFill/>
                    </a:ln>
                  </pic:spPr>
                </pic:pic>
              </a:graphicData>
            </a:graphic>
          </wp:inline>
        </w:drawing>
      </w:r>
      <w:r w:rsidRPr="00E63580">
        <w:rPr>
          <w:rFonts w:ascii="Times New Roman" w:hAnsi="Times New Roman"/>
          <w:sz w:val="18"/>
        </w:rPr>
        <w:t xml:space="preserve">, </w:t>
      </w:r>
      <w:r w:rsidRPr="00E63580">
        <w:rPr>
          <w:rFonts w:ascii="Times New Roman" w:hAnsi="Times New Roman"/>
          <w:noProof/>
          <w:position w:val="-12"/>
          <w:sz w:val="18"/>
          <w:lang w:eastAsia="zh-CN"/>
        </w:rPr>
        <w:drawing>
          <wp:inline distT="0" distB="0" distL="0" distR="0" wp14:anchorId="736DED86" wp14:editId="425C0B08">
            <wp:extent cx="640715" cy="208280"/>
            <wp:effectExtent l="0" t="0" r="698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0715" cy="208280"/>
                    </a:xfrm>
                    <a:prstGeom prst="rect">
                      <a:avLst/>
                    </a:prstGeom>
                    <a:noFill/>
                    <a:ln>
                      <a:noFill/>
                    </a:ln>
                  </pic:spPr>
                </pic:pic>
              </a:graphicData>
            </a:graphic>
          </wp:inline>
        </w:drawing>
      </w:r>
      <w:r w:rsidRPr="00E63580">
        <w:rPr>
          <w:rFonts w:ascii="Times New Roman" w:hAnsi="Times New Roman"/>
          <w:sz w:val="18"/>
        </w:rPr>
        <w:t xml:space="preserve"> for </w:t>
      </w:r>
      <w:r w:rsidRPr="00E63580">
        <w:rPr>
          <w:rFonts w:ascii="Times New Roman" w:hAnsi="Times New Roman"/>
          <w:noProof/>
          <w:position w:val="-10"/>
          <w:sz w:val="18"/>
          <w:lang w:eastAsia="zh-CN"/>
        </w:rPr>
        <w:drawing>
          <wp:inline distT="0" distB="0" distL="0" distR="0" wp14:anchorId="5B3E259A" wp14:editId="5A58D9DC">
            <wp:extent cx="640715" cy="208280"/>
            <wp:effectExtent l="0" t="0" r="6985"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0715" cy="208280"/>
                    </a:xfrm>
                    <a:prstGeom prst="rect">
                      <a:avLst/>
                    </a:prstGeom>
                    <a:noFill/>
                    <a:ln>
                      <a:noFill/>
                    </a:ln>
                  </pic:spPr>
                </pic:pic>
              </a:graphicData>
            </a:graphic>
          </wp:inline>
        </w:drawing>
      </w:r>
      <w:r w:rsidRPr="00E63580">
        <w:rPr>
          <w:rFonts w:ascii="Times New Roman" w:hAnsi="Times New Roman"/>
          <w:sz w:val="18"/>
        </w:rPr>
        <w:t xml:space="preserve">, </w:t>
      </w:r>
      <w:r w:rsidRPr="00E63580">
        <w:rPr>
          <w:rFonts w:ascii="Times New Roman" w:hAnsi="Times New Roman"/>
          <w:noProof/>
          <w:position w:val="-12"/>
          <w:sz w:val="18"/>
          <w:lang w:eastAsia="zh-CN"/>
        </w:rPr>
        <w:drawing>
          <wp:inline distT="0" distB="0" distL="0" distR="0" wp14:anchorId="7A35672C" wp14:editId="13CB7581">
            <wp:extent cx="640715" cy="219075"/>
            <wp:effectExtent l="0" t="0" r="698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715" cy="219075"/>
                    </a:xfrm>
                    <a:prstGeom prst="rect">
                      <a:avLst/>
                    </a:prstGeom>
                    <a:noFill/>
                    <a:ln>
                      <a:noFill/>
                    </a:ln>
                  </pic:spPr>
                </pic:pic>
              </a:graphicData>
            </a:graphic>
          </wp:inline>
        </w:drawing>
      </w:r>
      <w:r w:rsidRPr="00E63580">
        <w:rPr>
          <w:rFonts w:ascii="Times New Roman" w:hAnsi="Times New Roman"/>
          <w:sz w:val="18"/>
        </w:rPr>
        <w:t xml:space="preserve"> for </w:t>
      </w:r>
      <w:r w:rsidRPr="00E63580">
        <w:rPr>
          <w:rFonts w:ascii="Times New Roman" w:hAnsi="Times New Roman"/>
          <w:noProof/>
          <w:position w:val="-10"/>
          <w:sz w:val="18"/>
          <w:lang w:eastAsia="zh-CN"/>
        </w:rPr>
        <w:drawing>
          <wp:inline distT="0" distB="0" distL="0" distR="0" wp14:anchorId="6DC40834" wp14:editId="4F2DCC0D">
            <wp:extent cx="695325" cy="202565"/>
            <wp:effectExtent l="0" t="0" r="952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5325" cy="202565"/>
                    </a:xfrm>
                    <a:prstGeom prst="rect">
                      <a:avLst/>
                    </a:prstGeom>
                    <a:noFill/>
                    <a:ln>
                      <a:noFill/>
                    </a:ln>
                  </pic:spPr>
                </pic:pic>
              </a:graphicData>
            </a:graphic>
          </wp:inline>
        </w:drawing>
      </w:r>
      <w:r w:rsidRPr="00E63580">
        <w:rPr>
          <w:rFonts w:ascii="Times New Roman" w:hAnsi="Times New Roman"/>
          <w:sz w:val="18"/>
        </w:rPr>
        <w:t xml:space="preserve">, and </w:t>
      </w:r>
      <w:r w:rsidRPr="00E63580">
        <w:rPr>
          <w:rFonts w:ascii="Times New Roman" w:hAnsi="Times New Roman"/>
          <w:noProof/>
          <w:position w:val="-6"/>
          <w:sz w:val="18"/>
          <w:lang w:eastAsia="zh-CN"/>
        </w:rPr>
        <w:drawing>
          <wp:inline distT="0" distB="0" distL="0" distR="0" wp14:anchorId="147BB199" wp14:editId="1E4AC980">
            <wp:extent cx="640715" cy="164465"/>
            <wp:effectExtent l="0" t="0" r="6985"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715" cy="164465"/>
                    </a:xfrm>
                    <a:prstGeom prst="rect">
                      <a:avLst/>
                    </a:prstGeom>
                    <a:noFill/>
                    <a:ln>
                      <a:noFill/>
                    </a:ln>
                  </pic:spPr>
                </pic:pic>
              </a:graphicData>
            </a:graphic>
          </wp:inline>
        </w:drawing>
      </w:r>
      <w:r w:rsidRPr="00E63580">
        <w:rPr>
          <w:rFonts w:ascii="Times New Roman" w:hAnsi="Times New Roman"/>
          <w:sz w:val="18"/>
        </w:rPr>
        <w:t>;</w:t>
      </w:r>
    </w:p>
    <w:p w14:paraId="63E6C2B8" w14:textId="5BE2DB48" w:rsidR="00EF4C28" w:rsidRPr="00E63580" w:rsidRDefault="00EF4C28" w:rsidP="00EF4C28">
      <w:pPr>
        <w:rPr>
          <w:rFonts w:ascii="Times New Roman" w:hAnsi="Times New Roman"/>
          <w:sz w:val="18"/>
        </w:rPr>
      </w:pPr>
      <w:r w:rsidRPr="00E63580">
        <w:rPr>
          <w:rFonts w:ascii="Times New Roman" w:hAnsi="Times New Roman"/>
          <w:noProof/>
          <w:position w:val="-10"/>
          <w:sz w:val="18"/>
          <w:lang w:eastAsia="zh-CN"/>
        </w:rPr>
        <w:drawing>
          <wp:inline distT="0" distB="0" distL="0" distR="0" wp14:anchorId="6858F40D" wp14:editId="1C67F9B2">
            <wp:extent cx="733425" cy="180975"/>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E63580">
        <w:rPr>
          <w:rFonts w:ascii="Times New Roman" w:hAnsi="Times New Roman"/>
          <w:sz w:val="18"/>
        </w:rPr>
        <w:t>;</w:t>
      </w:r>
    </w:p>
    <w:p w14:paraId="26C8E795" w14:textId="21DF5375" w:rsidR="00EF4C28" w:rsidRPr="00E63580" w:rsidRDefault="00EF4C28" w:rsidP="00EF4C28">
      <w:pPr>
        <w:rPr>
          <w:rFonts w:ascii="Times New Roman" w:hAnsi="Times New Roman"/>
          <w:sz w:val="18"/>
        </w:rPr>
      </w:pPr>
      <w:r w:rsidRPr="00E63580">
        <w:rPr>
          <w:rFonts w:ascii="Times New Roman" w:hAnsi="Times New Roman"/>
          <w:noProof/>
          <w:position w:val="-12"/>
          <w:sz w:val="18"/>
          <w:lang w:eastAsia="zh-CN"/>
        </w:rPr>
        <w:drawing>
          <wp:inline distT="0" distB="0" distL="0" distR="0" wp14:anchorId="37977CC7" wp14:editId="0DB6336B">
            <wp:extent cx="361315" cy="202565"/>
            <wp:effectExtent l="0" t="0" r="63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315" cy="202565"/>
                    </a:xfrm>
                    <a:prstGeom prst="rect">
                      <a:avLst/>
                    </a:prstGeom>
                    <a:noFill/>
                    <a:ln>
                      <a:noFill/>
                    </a:ln>
                  </pic:spPr>
                </pic:pic>
              </a:graphicData>
            </a:graphic>
          </wp:inline>
        </w:drawing>
      </w:r>
      <w:r w:rsidRPr="00E63580">
        <w:rPr>
          <w:rStyle w:val="a5"/>
          <w:rFonts w:ascii="Times New Roman" w:hAnsi="Times New Roman"/>
          <w:sz w:val="20"/>
          <w:lang w:val="x-none"/>
        </w:rPr>
        <w:t xml:space="preserve"> </w:t>
      </w:r>
      <w:r w:rsidRPr="00E63580">
        <w:rPr>
          <w:rStyle w:val="a5"/>
          <w:rFonts w:ascii="Times New Roman" w:hAnsi="Times New Roman"/>
          <w:sz w:val="20"/>
          <w:szCs w:val="20"/>
          <w:lang w:val="x-none"/>
        </w:rPr>
        <w:t>i</w:t>
      </w:r>
      <w:r w:rsidRPr="00E63580">
        <w:rPr>
          <w:rFonts w:ascii="Times New Roman" w:hAnsi="Times New Roman"/>
          <w:sz w:val="18"/>
        </w:rPr>
        <w:t xml:space="preserve">s the number of CCEs, numbered from 0 to </w:t>
      </w:r>
      <w:r w:rsidRPr="00E63580">
        <w:rPr>
          <w:rFonts w:ascii="Times New Roman" w:hAnsi="Times New Roman"/>
          <w:noProof/>
          <w:position w:val="-12"/>
          <w:sz w:val="18"/>
          <w:lang w:eastAsia="zh-CN"/>
        </w:rPr>
        <w:drawing>
          <wp:inline distT="0" distB="0" distL="0" distR="0" wp14:anchorId="499AA0E7" wp14:editId="38571DA2">
            <wp:extent cx="553085" cy="208280"/>
            <wp:effectExtent l="0" t="0" r="0"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3085" cy="208280"/>
                    </a:xfrm>
                    <a:prstGeom prst="rect">
                      <a:avLst/>
                    </a:prstGeom>
                    <a:noFill/>
                    <a:ln>
                      <a:noFill/>
                    </a:ln>
                  </pic:spPr>
                </pic:pic>
              </a:graphicData>
            </a:graphic>
          </wp:inline>
        </w:drawing>
      </w:r>
      <w:r w:rsidRPr="00E63580">
        <w:rPr>
          <w:rFonts w:ascii="Times New Roman" w:hAnsi="Times New Roman"/>
          <w:sz w:val="18"/>
        </w:rPr>
        <w:t xml:space="preserve">, in CORESET </w:t>
      </w:r>
      <w:r w:rsidRPr="00E63580">
        <w:rPr>
          <w:rFonts w:ascii="Times New Roman" w:hAnsi="Times New Roman"/>
          <w:noProof/>
          <w:position w:val="-10"/>
          <w:sz w:val="18"/>
          <w:lang w:eastAsia="zh-CN"/>
        </w:rPr>
        <w:drawing>
          <wp:inline distT="0" distB="0" distL="0" distR="0" wp14:anchorId="4C1BAA1D" wp14:editId="5EEBAA0D">
            <wp:extent cx="125730" cy="180975"/>
            <wp:effectExtent l="0" t="0" r="762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730" cy="180975"/>
                    </a:xfrm>
                    <a:prstGeom prst="rect">
                      <a:avLst/>
                    </a:prstGeom>
                    <a:noFill/>
                    <a:ln>
                      <a:noFill/>
                    </a:ln>
                  </pic:spPr>
                </pic:pic>
              </a:graphicData>
            </a:graphic>
          </wp:inline>
        </w:drawing>
      </w:r>
      <w:r w:rsidRPr="00E63580">
        <w:rPr>
          <w:rFonts w:ascii="Times New Roman" w:hAnsi="Times New Roman"/>
          <w:sz w:val="18"/>
        </w:rPr>
        <w:t xml:space="preserve">; </w:t>
      </w:r>
    </w:p>
    <w:p w14:paraId="046917B3" w14:textId="24099708" w:rsidR="00EF4C28" w:rsidRPr="00E63580" w:rsidRDefault="00EF4C28" w:rsidP="00EF4C28">
      <w:pPr>
        <w:rPr>
          <w:rFonts w:ascii="Times New Roman" w:hAnsi="Times New Roman"/>
          <w:sz w:val="18"/>
        </w:rPr>
      </w:pPr>
      <w:r w:rsidRPr="00E63580">
        <w:rPr>
          <w:rFonts w:ascii="Times New Roman" w:hAnsi="Times New Roman"/>
          <w:noProof/>
          <w:position w:val="-10"/>
          <w:sz w:val="18"/>
          <w:lang w:eastAsia="zh-CN"/>
        </w:rPr>
        <w:drawing>
          <wp:inline distT="0" distB="0" distL="0" distR="0" wp14:anchorId="5C59FF76" wp14:editId="62319AB9">
            <wp:extent cx="18097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63580">
        <w:rPr>
          <w:rFonts w:ascii="Times New Roman" w:hAnsi="Times New Roman"/>
          <w:sz w:val="18"/>
        </w:rPr>
        <w:t xml:space="preserve"> is the carrier indicator field value if the UE is configured with a carrier indicator field by </w:t>
      </w:r>
      <w:r w:rsidRPr="00E63580">
        <w:rPr>
          <w:rFonts w:ascii="Times New Roman" w:hAnsi="Times New Roman"/>
          <w:i/>
          <w:sz w:val="18"/>
        </w:rPr>
        <w:t>CrossCarrierSchedulingConfig</w:t>
      </w:r>
      <w:r w:rsidRPr="00E63580">
        <w:rPr>
          <w:rFonts w:ascii="Times New Roman" w:hAnsi="Times New Roman"/>
          <w:sz w:val="18"/>
        </w:rPr>
        <w:t xml:space="preserve"> for the serving cell on which PDCCH is monitored; otherwise, including for any CSS, </w:t>
      </w:r>
      <w:r w:rsidRPr="00E63580">
        <w:rPr>
          <w:rFonts w:ascii="Times New Roman" w:hAnsi="Times New Roman"/>
          <w:noProof/>
          <w:position w:val="-10"/>
          <w:sz w:val="18"/>
          <w:lang w:eastAsia="zh-CN"/>
        </w:rPr>
        <w:drawing>
          <wp:inline distT="0" distB="0" distL="0" distR="0" wp14:anchorId="03AA4569" wp14:editId="71AD98FA">
            <wp:extent cx="361315" cy="180975"/>
            <wp:effectExtent l="0" t="0" r="63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E63580">
        <w:rPr>
          <w:rFonts w:ascii="Times New Roman" w:hAnsi="Times New Roman"/>
          <w:sz w:val="18"/>
        </w:rPr>
        <w:t>;</w:t>
      </w:r>
    </w:p>
    <w:p w14:paraId="4EBED5F7" w14:textId="47EFA1BE" w:rsidR="00EF4C28" w:rsidRPr="00E63580" w:rsidRDefault="00EF4C28" w:rsidP="00EF4C28">
      <w:pPr>
        <w:rPr>
          <w:rFonts w:ascii="Times New Roman" w:hAnsi="Times New Roman"/>
          <w:sz w:val="18"/>
        </w:rPr>
      </w:pPr>
      <w:r w:rsidRPr="00E63580">
        <w:rPr>
          <w:rFonts w:ascii="Times New Roman" w:hAnsi="Times New Roman"/>
          <w:noProof/>
          <w:position w:val="-14"/>
          <w:sz w:val="18"/>
          <w:lang w:eastAsia="zh-CN"/>
        </w:rPr>
        <w:drawing>
          <wp:inline distT="0" distB="0" distL="0" distR="0" wp14:anchorId="36358411" wp14:editId="10773317">
            <wp:extent cx="1188085" cy="2355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8085" cy="235585"/>
                    </a:xfrm>
                    <a:prstGeom prst="rect">
                      <a:avLst/>
                    </a:prstGeom>
                    <a:noFill/>
                    <a:ln>
                      <a:noFill/>
                    </a:ln>
                  </pic:spPr>
                </pic:pic>
              </a:graphicData>
            </a:graphic>
          </wp:inline>
        </w:drawing>
      </w:r>
      <w:r w:rsidRPr="00E63580">
        <w:rPr>
          <w:rFonts w:ascii="Times New Roman" w:hAnsi="Times New Roman"/>
          <w:sz w:val="18"/>
        </w:rPr>
        <w:t xml:space="preserve">, where </w:t>
      </w:r>
      <w:r w:rsidRPr="00E63580">
        <w:rPr>
          <w:rFonts w:ascii="Times New Roman" w:hAnsi="Times New Roman"/>
          <w:noProof/>
          <w:position w:val="-14"/>
          <w:sz w:val="18"/>
          <w:lang w:eastAsia="zh-CN"/>
        </w:rPr>
        <w:drawing>
          <wp:inline distT="0" distB="0" distL="0" distR="0" wp14:anchorId="3E185F7C" wp14:editId="7F67797E">
            <wp:extent cx="361315" cy="246380"/>
            <wp:effectExtent l="0" t="0" r="63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315" cy="246380"/>
                    </a:xfrm>
                    <a:prstGeom prst="rect">
                      <a:avLst/>
                    </a:prstGeom>
                    <a:noFill/>
                    <a:ln>
                      <a:noFill/>
                    </a:ln>
                  </pic:spPr>
                </pic:pic>
              </a:graphicData>
            </a:graphic>
          </wp:inline>
        </w:drawing>
      </w:r>
      <w:r w:rsidRPr="00E63580">
        <w:rPr>
          <w:rFonts w:ascii="Times New Roman" w:hAnsi="Times New Roman"/>
          <w:sz w:val="18"/>
        </w:rPr>
        <w:t xml:space="preserve"> is the number of PDCCH candidates</w:t>
      </w:r>
      <w:r w:rsidRPr="00E63580" w:rsidDel="0005338E">
        <w:rPr>
          <w:rFonts w:ascii="Times New Roman" w:hAnsi="Times New Roman"/>
          <w:sz w:val="18"/>
        </w:rPr>
        <w:t xml:space="preserve"> </w:t>
      </w:r>
      <w:r w:rsidRPr="00E63580">
        <w:rPr>
          <w:rFonts w:ascii="Times New Roman" w:hAnsi="Times New Roman"/>
          <w:sz w:val="18"/>
        </w:rPr>
        <w:t xml:space="preserve">the UE is configured to monitor for aggregation level </w:t>
      </w:r>
      <w:r w:rsidRPr="00E63580">
        <w:rPr>
          <w:rFonts w:ascii="Times New Roman" w:hAnsi="Times New Roman"/>
          <w:noProof/>
          <w:position w:val="-4"/>
          <w:sz w:val="18"/>
          <w:lang w:eastAsia="zh-CN"/>
        </w:rPr>
        <w:drawing>
          <wp:inline distT="0" distB="0" distL="0" distR="0" wp14:anchorId="4813F3AF" wp14:editId="521AB505">
            <wp:extent cx="125730" cy="14224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5730" cy="142240"/>
                    </a:xfrm>
                    <a:prstGeom prst="rect">
                      <a:avLst/>
                    </a:prstGeom>
                    <a:noFill/>
                    <a:ln>
                      <a:noFill/>
                    </a:ln>
                  </pic:spPr>
                </pic:pic>
              </a:graphicData>
            </a:graphic>
          </wp:inline>
        </w:drawing>
      </w:r>
      <w:r w:rsidRPr="00E63580">
        <w:rPr>
          <w:rFonts w:ascii="Times New Roman" w:hAnsi="Times New Roman"/>
          <w:sz w:val="18"/>
        </w:rPr>
        <w:t xml:space="preserve"> of a search space set </w:t>
      </w:r>
      <w:r w:rsidRPr="00E63580">
        <w:rPr>
          <w:rFonts w:ascii="Times New Roman" w:hAnsi="Times New Roman"/>
          <w:noProof/>
          <w:position w:val="-6"/>
          <w:sz w:val="18"/>
          <w:lang w:eastAsia="zh-CN"/>
        </w:rPr>
        <w:drawing>
          <wp:inline distT="0" distB="0" distL="0" distR="0" wp14:anchorId="40786008" wp14:editId="05581733">
            <wp:extent cx="104140" cy="1257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r w:rsidRPr="00E63580">
        <w:rPr>
          <w:rFonts w:ascii="Times New Roman" w:hAnsi="Times New Roman"/>
          <w:sz w:val="18"/>
        </w:rPr>
        <w:t xml:space="preserve"> for a serving cell corresponding to </w:t>
      </w:r>
      <w:r w:rsidRPr="00E63580">
        <w:rPr>
          <w:rFonts w:ascii="Times New Roman" w:hAnsi="Times New Roman"/>
          <w:noProof/>
          <w:position w:val="-10"/>
          <w:sz w:val="18"/>
          <w:lang w:eastAsia="zh-CN"/>
        </w:rPr>
        <w:drawing>
          <wp:inline distT="0" distB="0" distL="0" distR="0" wp14:anchorId="6508FC7A" wp14:editId="365CFDA3">
            <wp:extent cx="180975" cy="202565"/>
            <wp:effectExtent l="0" t="0" r="952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02565"/>
                    </a:xfrm>
                    <a:prstGeom prst="rect">
                      <a:avLst/>
                    </a:prstGeom>
                    <a:noFill/>
                    <a:ln>
                      <a:noFill/>
                    </a:ln>
                  </pic:spPr>
                </pic:pic>
              </a:graphicData>
            </a:graphic>
          </wp:inline>
        </w:drawing>
      </w:r>
      <w:r w:rsidRPr="00E63580">
        <w:rPr>
          <w:rFonts w:ascii="Times New Roman" w:hAnsi="Times New Roman"/>
          <w:sz w:val="18"/>
        </w:rPr>
        <w:t xml:space="preserve">; </w:t>
      </w:r>
    </w:p>
    <w:p w14:paraId="0A233774" w14:textId="4DD09B8D" w:rsidR="00EF4C28" w:rsidRPr="00E63580" w:rsidRDefault="00EF4C28" w:rsidP="00EF4C28">
      <w:pPr>
        <w:rPr>
          <w:rFonts w:ascii="Times New Roman" w:hAnsi="Times New Roman"/>
          <w:sz w:val="18"/>
        </w:rPr>
      </w:pPr>
      <w:r w:rsidRPr="00E63580">
        <w:rPr>
          <w:rFonts w:ascii="Times New Roman" w:hAnsi="Times New Roman"/>
          <w:sz w:val="18"/>
        </w:rPr>
        <w:t xml:space="preserve">for any CSS, </w:t>
      </w:r>
      <w:r w:rsidRPr="00E63580">
        <w:rPr>
          <w:rFonts w:ascii="Times New Roman" w:hAnsi="Times New Roman"/>
          <w:noProof/>
          <w:position w:val="-12"/>
          <w:sz w:val="18"/>
          <w:lang w:eastAsia="zh-CN"/>
        </w:rPr>
        <w:drawing>
          <wp:inline distT="0" distB="0" distL="0" distR="0" wp14:anchorId="24CAD1E7" wp14:editId="00BF8150">
            <wp:extent cx="733425" cy="23558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3425" cy="235585"/>
                    </a:xfrm>
                    <a:prstGeom prst="rect">
                      <a:avLst/>
                    </a:prstGeom>
                    <a:noFill/>
                    <a:ln>
                      <a:noFill/>
                    </a:ln>
                  </pic:spPr>
                </pic:pic>
              </a:graphicData>
            </a:graphic>
          </wp:inline>
        </w:drawing>
      </w:r>
      <w:r w:rsidRPr="00E63580">
        <w:rPr>
          <w:rFonts w:ascii="Times New Roman" w:hAnsi="Times New Roman"/>
          <w:sz w:val="18"/>
        </w:rPr>
        <w:t xml:space="preserve">; </w:t>
      </w:r>
    </w:p>
    <w:p w14:paraId="04132500" w14:textId="3E1874DA" w:rsidR="00EF4C28" w:rsidRPr="00E63580" w:rsidRDefault="00EF4C28" w:rsidP="00EF4C28">
      <w:pPr>
        <w:rPr>
          <w:rFonts w:ascii="Times New Roman" w:hAnsi="Times New Roman"/>
          <w:sz w:val="18"/>
        </w:rPr>
      </w:pPr>
      <w:r w:rsidRPr="00E63580">
        <w:rPr>
          <w:rFonts w:ascii="Times New Roman" w:hAnsi="Times New Roman"/>
          <w:sz w:val="18"/>
        </w:rPr>
        <w:t xml:space="preserve">for a USS, </w:t>
      </w:r>
      <w:r w:rsidRPr="00E63580">
        <w:rPr>
          <w:rFonts w:ascii="Times New Roman" w:hAnsi="Times New Roman"/>
          <w:noProof/>
          <w:position w:val="-12"/>
          <w:sz w:val="18"/>
          <w:lang w:eastAsia="zh-CN"/>
        </w:rPr>
        <w:drawing>
          <wp:inline distT="0" distB="0" distL="0" distR="0" wp14:anchorId="13E34EE2" wp14:editId="4023F26F">
            <wp:extent cx="361315" cy="23558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315" cy="235585"/>
                    </a:xfrm>
                    <a:prstGeom prst="rect">
                      <a:avLst/>
                    </a:prstGeom>
                    <a:noFill/>
                    <a:ln>
                      <a:noFill/>
                    </a:ln>
                  </pic:spPr>
                </pic:pic>
              </a:graphicData>
            </a:graphic>
          </wp:inline>
        </w:drawing>
      </w:r>
      <w:r w:rsidRPr="00E63580">
        <w:rPr>
          <w:rFonts w:ascii="Times New Roman" w:eastAsia="Malgun Gothic" w:hAnsi="Times New Roman"/>
          <w:sz w:val="18"/>
          <w:lang w:eastAsia="ko-KR"/>
        </w:rPr>
        <w:t xml:space="preserve"> is the maximum of </w:t>
      </w:r>
      <w:r w:rsidRPr="00E63580">
        <w:rPr>
          <w:rFonts w:ascii="Times New Roman" w:hAnsi="Times New Roman"/>
          <w:noProof/>
          <w:position w:val="-14"/>
          <w:sz w:val="18"/>
          <w:lang w:eastAsia="zh-CN"/>
        </w:rPr>
        <w:drawing>
          <wp:inline distT="0" distB="0" distL="0" distR="0" wp14:anchorId="1255DDEA" wp14:editId="638A81B1">
            <wp:extent cx="311785" cy="2463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1785" cy="246380"/>
                    </a:xfrm>
                    <a:prstGeom prst="rect">
                      <a:avLst/>
                    </a:prstGeom>
                    <a:noFill/>
                    <a:ln>
                      <a:noFill/>
                    </a:ln>
                  </pic:spPr>
                </pic:pic>
              </a:graphicData>
            </a:graphic>
          </wp:inline>
        </w:drawing>
      </w:r>
      <w:r w:rsidRPr="00E63580">
        <w:rPr>
          <w:rFonts w:ascii="Times New Roman" w:hAnsi="Times New Roman"/>
          <w:sz w:val="18"/>
        </w:rPr>
        <w:t xml:space="preserve"> </w:t>
      </w:r>
      <w:r w:rsidRPr="00E63580">
        <w:rPr>
          <w:rFonts w:ascii="Times New Roman" w:eastAsia="Malgun Gothic" w:hAnsi="Times New Roman"/>
          <w:sz w:val="18"/>
          <w:lang w:eastAsia="ko-KR"/>
        </w:rPr>
        <w:t xml:space="preserve">over all configured </w:t>
      </w:r>
      <w:r w:rsidRPr="00E63580">
        <w:rPr>
          <w:rFonts w:ascii="Times New Roman" w:hAnsi="Times New Roman"/>
          <w:noProof/>
          <w:position w:val="-10"/>
          <w:sz w:val="18"/>
          <w:lang w:eastAsia="zh-CN"/>
        </w:rPr>
        <w:drawing>
          <wp:inline distT="0" distB="0" distL="0" distR="0" wp14:anchorId="032F1B20" wp14:editId="3234F9B1">
            <wp:extent cx="180975" cy="202565"/>
            <wp:effectExtent l="0" t="0" r="952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02565"/>
                    </a:xfrm>
                    <a:prstGeom prst="rect">
                      <a:avLst/>
                    </a:prstGeom>
                    <a:noFill/>
                    <a:ln>
                      <a:noFill/>
                    </a:ln>
                  </pic:spPr>
                </pic:pic>
              </a:graphicData>
            </a:graphic>
          </wp:inline>
        </w:drawing>
      </w:r>
      <w:r w:rsidRPr="00E63580">
        <w:rPr>
          <w:rFonts w:ascii="Times New Roman" w:hAnsi="Times New Roman"/>
          <w:sz w:val="18"/>
        </w:rPr>
        <w:t xml:space="preserve"> values </w:t>
      </w:r>
      <w:r w:rsidRPr="00E63580">
        <w:rPr>
          <w:rFonts w:ascii="Times New Roman" w:eastAsia="Malgun Gothic" w:hAnsi="Times New Roman"/>
          <w:sz w:val="18"/>
          <w:lang w:eastAsia="ko-KR"/>
        </w:rPr>
        <w:t xml:space="preserve">for a CCE aggregation level </w:t>
      </w:r>
      <w:r w:rsidRPr="00E63580">
        <w:rPr>
          <w:rFonts w:ascii="Times New Roman" w:hAnsi="Times New Roman"/>
          <w:noProof/>
          <w:position w:val="-4"/>
          <w:sz w:val="18"/>
          <w:lang w:eastAsia="zh-CN"/>
        </w:rPr>
        <w:drawing>
          <wp:inline distT="0" distB="0" distL="0" distR="0" wp14:anchorId="4130482F" wp14:editId="05748B64">
            <wp:extent cx="114935" cy="16446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935" cy="164465"/>
                    </a:xfrm>
                    <a:prstGeom prst="rect">
                      <a:avLst/>
                    </a:prstGeom>
                    <a:noFill/>
                    <a:ln>
                      <a:noFill/>
                    </a:ln>
                  </pic:spPr>
                </pic:pic>
              </a:graphicData>
            </a:graphic>
          </wp:inline>
        </w:drawing>
      </w:r>
      <w:r w:rsidRPr="00E63580">
        <w:rPr>
          <w:rFonts w:ascii="Times New Roman" w:eastAsia="Malgun Gothic" w:hAnsi="Times New Roman"/>
          <w:sz w:val="18"/>
          <w:lang w:eastAsia="ko-KR"/>
        </w:rPr>
        <w:t xml:space="preserve"> of search space set </w:t>
      </w:r>
      <w:r w:rsidRPr="00E63580">
        <w:rPr>
          <w:rFonts w:ascii="Times New Roman" w:hAnsi="Times New Roman"/>
          <w:noProof/>
          <w:position w:val="-6"/>
          <w:sz w:val="18"/>
          <w:lang w:eastAsia="zh-CN"/>
        </w:rPr>
        <w:drawing>
          <wp:inline distT="0" distB="0" distL="0" distR="0" wp14:anchorId="744DF755" wp14:editId="62A9543C">
            <wp:extent cx="104140" cy="12573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r w:rsidRPr="00E63580">
        <w:rPr>
          <w:rFonts w:ascii="Times New Roman" w:hAnsi="Times New Roman"/>
          <w:sz w:val="18"/>
        </w:rPr>
        <w:t xml:space="preserve"> ;</w:t>
      </w:r>
    </w:p>
    <w:p w14:paraId="7F05093D" w14:textId="3153A051" w:rsidR="000F4BB5" w:rsidRDefault="00EF4C28" w:rsidP="00EF4C28">
      <w:pPr>
        <w:pStyle w:val="a7"/>
        <w:jc w:val="both"/>
        <w:rPr>
          <w:rFonts w:eastAsia="MS Mincho"/>
          <w:sz w:val="18"/>
        </w:rPr>
      </w:pPr>
      <w:r w:rsidRPr="00E63580">
        <w:rPr>
          <w:rFonts w:ascii="Times New Roman" w:eastAsia="MS Mincho" w:hAnsi="Times New Roman"/>
          <w:sz w:val="18"/>
        </w:rPr>
        <w:t xml:space="preserve">the RNTI value used for </w:t>
      </w:r>
      <w:r w:rsidRPr="00E63580">
        <w:rPr>
          <w:rFonts w:ascii="Times New Roman" w:hAnsi="Times New Roman"/>
          <w:noProof/>
          <w:position w:val="-10"/>
          <w:sz w:val="18"/>
          <w:lang w:val="en-US" w:eastAsia="zh-CN"/>
        </w:rPr>
        <w:drawing>
          <wp:inline distT="0" distB="0" distL="0" distR="0" wp14:anchorId="6E167AED" wp14:editId="6787DFB8">
            <wp:extent cx="273685" cy="2025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3685" cy="202565"/>
                    </a:xfrm>
                    <a:prstGeom prst="rect">
                      <a:avLst/>
                    </a:prstGeom>
                    <a:noFill/>
                    <a:ln>
                      <a:noFill/>
                    </a:ln>
                  </pic:spPr>
                </pic:pic>
              </a:graphicData>
            </a:graphic>
          </wp:inline>
        </w:drawing>
      </w:r>
      <w:r w:rsidRPr="00E63580">
        <w:rPr>
          <w:rFonts w:ascii="Times New Roman" w:eastAsia="MS Mincho" w:hAnsi="Times New Roman"/>
          <w:sz w:val="18"/>
        </w:rPr>
        <w:t xml:space="preserve"> is the C-RNTI.</w:t>
      </w:r>
    </w:p>
    <w:p w14:paraId="703A158B" w14:textId="3267DE11" w:rsidR="009D4252" w:rsidRDefault="00D30EE8" w:rsidP="009D4252">
      <w:r>
        <w:t>------------------------------------------ End TP2 for Section 10.1 of TS 38.213 ----------------------------------------</w:t>
      </w:r>
    </w:p>
    <w:p w14:paraId="02947E79" w14:textId="51D1F573" w:rsidR="001C3F76" w:rsidRDefault="001C3F76" w:rsidP="00116C54">
      <w:pPr>
        <w:pStyle w:val="20"/>
        <w:numPr>
          <w:ilvl w:val="1"/>
          <w:numId w:val="7"/>
        </w:numPr>
        <w:tabs>
          <w:tab w:val="clear" w:pos="1984"/>
          <w:tab w:val="num" w:pos="567"/>
        </w:tabs>
        <w:ind w:left="567"/>
        <w:rPr>
          <w:rFonts w:eastAsia="宋体"/>
          <w:b w:val="0"/>
          <w:sz w:val="30"/>
          <w:szCs w:val="30"/>
        </w:rPr>
      </w:pPr>
      <w:r>
        <w:rPr>
          <w:rFonts w:eastAsia="宋体"/>
          <w:b w:val="0"/>
          <w:sz w:val="30"/>
          <w:szCs w:val="30"/>
        </w:rPr>
        <w:t>Spec alignment</w:t>
      </w:r>
    </w:p>
    <w:p w14:paraId="7EC22B4B" w14:textId="521549D2" w:rsidR="001C3F76" w:rsidRDefault="001C3F76" w:rsidP="001C3F76">
      <w:pPr>
        <w:pStyle w:val="a0"/>
        <w:rPr>
          <w:rFonts w:ascii="Times New Roman" w:hAnsi="Times New Roman"/>
        </w:rPr>
      </w:pPr>
      <w:r w:rsidRPr="001C3F76">
        <w:rPr>
          <w:rFonts w:ascii="Times New Roman" w:hAnsi="Times New Roman"/>
        </w:rPr>
        <w:t>The higher layer parameter name for multiple frequency domain locations in SS set configuration is not aligned between TS 38.213 and current running CR for TS 38.331</w:t>
      </w:r>
      <w:r>
        <w:rPr>
          <w:rFonts w:ascii="Times New Roman" w:hAnsi="Times New Roman"/>
        </w:rPr>
        <w:t>. Thus, the following alignment TP is proposed:</w:t>
      </w:r>
    </w:p>
    <w:p w14:paraId="32D44CBA" w14:textId="5304D939" w:rsidR="001C3F76" w:rsidRPr="006201E5" w:rsidRDefault="001C3F76" w:rsidP="001C3F76">
      <w:pPr>
        <w:pStyle w:val="a0"/>
        <w:rPr>
          <w:rFonts w:ascii="Times New Roman" w:hAnsi="Times New Roman"/>
        </w:rPr>
      </w:pPr>
      <w:r>
        <w:t>------------------------------------------ Start TP3 for Section 10.1 of TS 38.213 ----------------------------------------</w:t>
      </w:r>
    </w:p>
    <w:p w14:paraId="5F04E14D" w14:textId="77777777" w:rsidR="001C3F76" w:rsidRPr="001C3F76" w:rsidRDefault="001C3F76" w:rsidP="001C3F76">
      <w:pPr>
        <w:rPr>
          <w:rFonts w:ascii="Times New Roman" w:hAnsi="Times New Roman"/>
          <w:sz w:val="18"/>
        </w:rPr>
      </w:pPr>
      <w:r w:rsidRPr="001C3F76">
        <w:rPr>
          <w:rFonts w:ascii="Times New Roman" w:eastAsia="宋体" w:hAnsi="Times New Roman"/>
          <w:sz w:val="18"/>
        </w:rPr>
        <w:t xml:space="preserve">For each </w:t>
      </w:r>
      <w:r w:rsidRPr="001C3F76">
        <w:rPr>
          <w:rFonts w:ascii="Times New Roman" w:hAnsi="Times New Roman"/>
          <w:sz w:val="18"/>
        </w:rPr>
        <w:t xml:space="preserve">CORESET in </w:t>
      </w:r>
      <w:r w:rsidRPr="001C3F76">
        <w:rPr>
          <w:rFonts w:ascii="Times New Roman" w:eastAsia="宋体" w:hAnsi="Times New Roman"/>
          <w:sz w:val="18"/>
        </w:rPr>
        <w:t xml:space="preserve">a DL BWP of a serving cell, a respective </w:t>
      </w:r>
      <w:r w:rsidRPr="001C3F76">
        <w:rPr>
          <w:rFonts w:ascii="Times New Roman" w:hAnsi="Times New Roman"/>
          <w:i/>
          <w:sz w:val="18"/>
        </w:rPr>
        <w:t>frequencyDomainResources</w:t>
      </w:r>
      <w:r w:rsidRPr="001C3F76">
        <w:rPr>
          <w:rFonts w:ascii="Times New Roman" w:hAnsi="Times New Roman"/>
          <w:sz w:val="18"/>
        </w:rPr>
        <w:t xml:space="preserve"> provides a bitmap. </w:t>
      </w:r>
    </w:p>
    <w:p w14:paraId="59442A1A" w14:textId="29EC0869" w:rsidR="001C3F76" w:rsidRPr="001C3F76" w:rsidRDefault="001C3F76" w:rsidP="001C3F76">
      <w:pPr>
        <w:pStyle w:val="B10"/>
        <w:rPr>
          <w:rFonts w:ascii="Times New Roman" w:hAnsi="Times New Roman"/>
          <w:sz w:val="18"/>
        </w:rPr>
      </w:pPr>
      <w:r w:rsidRPr="001C3F76">
        <w:rPr>
          <w:rFonts w:ascii="Times New Roman" w:hAnsi="Times New Roman"/>
          <w:sz w:val="18"/>
        </w:rPr>
        <w:t>-</w:t>
      </w:r>
      <w:r w:rsidRPr="001C3F76">
        <w:rPr>
          <w:rFonts w:ascii="Times New Roman" w:hAnsi="Times New Roman"/>
          <w:sz w:val="18"/>
        </w:rPr>
        <w:tab/>
        <w:t xml:space="preserve">if a CORESET is not associated with any search space set configured with </w:t>
      </w:r>
      <w:r w:rsidRPr="001C3F76">
        <w:rPr>
          <w:rFonts w:ascii="Times New Roman" w:hAnsi="Times New Roman"/>
          <w:i/>
          <w:sz w:val="18"/>
        </w:rPr>
        <w:t>freqMonitorLocation</w:t>
      </w:r>
      <w:r w:rsidR="008F14B2" w:rsidRPr="008F14B2">
        <w:rPr>
          <w:rFonts w:ascii="Times New Roman" w:hAnsi="Times New Roman"/>
          <w:i/>
          <w:color w:val="FF0000"/>
          <w:sz w:val="18"/>
          <w:u w:val="single"/>
        </w:rPr>
        <w:t>s</w:t>
      </w:r>
      <w:r w:rsidRPr="001C3F76">
        <w:rPr>
          <w:rFonts w:ascii="Times New Roman" w:hAnsi="Times New Roman"/>
          <w:i/>
          <w:sz w:val="18"/>
        </w:rPr>
        <w:t>-r16</w:t>
      </w:r>
      <w:r w:rsidRPr="001C3F76">
        <w:rPr>
          <w:rFonts w:ascii="Times New Roman" w:hAnsi="Times New Roman"/>
          <w:sz w:val="18"/>
        </w:rPr>
        <w:t xml:space="preserve">, the bits of the bitmap have a one-to-one mapping with non-overlapping groups of 6 consecutive PRBs, in ascending order of the PRB index in the DL BWP bandwidth of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BWP</m:t>
            </m:r>
          </m:sup>
        </m:sSubSup>
      </m:oMath>
      <w:r w:rsidRPr="001C3F76">
        <w:rPr>
          <w:rFonts w:ascii="Times New Roman" w:hAnsi="Times New Roman"/>
          <w:sz w:val="18"/>
        </w:rPr>
        <w:t xml:space="preserve"> PRBs with starting common RB position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BWP</m:t>
            </m:r>
          </m:sub>
          <m:sup>
            <m:r>
              <m:rPr>
                <m:sty m:val="p"/>
              </m:rPr>
              <w:rPr>
                <w:rFonts w:ascii="Cambria Math" w:hAnsi="Cambria Math"/>
                <w:sz w:val="18"/>
              </w:rPr>
              <m:t>start</m:t>
            </m:r>
          </m:sup>
        </m:sSubSup>
      </m:oMath>
      <w:r w:rsidRPr="001C3F76">
        <w:rPr>
          <w:rFonts w:ascii="Times New Roman" w:hAnsi="Times New Roman"/>
          <w:sz w:val="18"/>
        </w:rPr>
        <w:t xml:space="preserve">, where the first common RB of the first group of 6 PRBs has common RB index </w:t>
      </w:r>
      <m:oMath>
        <m:r>
          <w:rPr>
            <w:rFonts w:ascii="Cambria Math" w:hAnsi="Cambria Math"/>
            <w:sz w:val="18"/>
          </w:rPr>
          <m:t>6⋅</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BWP</m:t>
                </m:r>
              </m:sub>
              <m:sup>
                <m:r>
                  <m:rPr>
                    <m:sty m:val="p"/>
                  </m:rPr>
                  <w:rPr>
                    <w:rFonts w:ascii="Cambria Math" w:hAnsi="Cambria Math"/>
                    <w:sz w:val="18"/>
                  </w:rPr>
                  <m:t>start</m:t>
                </m:r>
              </m:sup>
            </m:sSubSup>
            <m:r>
              <w:rPr>
                <w:rFonts w:ascii="Cambria Math" w:hAnsi="Cambria Math"/>
                <w:sz w:val="18"/>
              </w:rPr>
              <m:t>/6</m:t>
            </m:r>
          </m:e>
        </m:d>
      </m:oMath>
      <w:r w:rsidRPr="001C3F76">
        <w:rPr>
          <w:rFonts w:ascii="Times New Roman" w:hAnsi="Times New Roman"/>
          <w:sz w:val="18"/>
        </w:rPr>
        <w:t xml:space="preserve"> if </w:t>
      </w:r>
      <w:r w:rsidRPr="001C3F76">
        <w:rPr>
          <w:rFonts w:ascii="Times New Roman" w:hAnsi="Times New Roman"/>
          <w:i/>
          <w:sz w:val="18"/>
        </w:rPr>
        <w:t>rb-offset</w:t>
      </w:r>
      <w:r w:rsidRPr="001C3F76">
        <w:rPr>
          <w:rFonts w:ascii="Times New Roman" w:hAnsi="Times New Roman"/>
          <w:sz w:val="18"/>
        </w:rPr>
        <w:t xml:space="preserve"> is not provided, or the first common RB of the first group of 6 PRBs has common RB index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BWP</m:t>
            </m:r>
          </m:sub>
          <m:sup>
            <m:r>
              <m:rPr>
                <m:sty m:val="p"/>
              </m:rPr>
              <w:rPr>
                <w:rFonts w:ascii="Cambria Math" w:hAnsi="Cambria Math"/>
                <w:sz w:val="18"/>
              </w:rPr>
              <m:t>start</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oMath>
      <w:r w:rsidRPr="001C3F76">
        <w:rPr>
          <w:rFonts w:ascii="Times New Roman" w:hAnsi="Times New Roman"/>
          <w:sz w:val="18"/>
        </w:rPr>
        <w:t xml:space="preserve"> where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oMath>
      <w:r w:rsidRPr="001C3F76">
        <w:rPr>
          <w:rFonts w:ascii="Times New Roman" w:hAnsi="Times New Roman"/>
          <w:sz w:val="18"/>
        </w:rPr>
        <w:t xml:space="preserve"> is provided by </w:t>
      </w:r>
      <w:r w:rsidRPr="001C3F76">
        <w:rPr>
          <w:rFonts w:ascii="Times New Roman" w:hAnsi="Times New Roman"/>
          <w:i/>
          <w:sz w:val="18"/>
        </w:rPr>
        <w:t>rb-offset.</w:t>
      </w:r>
      <w:r w:rsidRPr="001C3F76">
        <w:rPr>
          <w:rFonts w:ascii="Times New Roman" w:hAnsi="Times New Roman"/>
          <w:sz w:val="18"/>
        </w:rPr>
        <w:t xml:space="preserve"> </w:t>
      </w:r>
    </w:p>
    <w:p w14:paraId="24D2924A" w14:textId="665313C6" w:rsidR="001C3F76" w:rsidRDefault="001C3F76" w:rsidP="001C3F76">
      <w:pPr>
        <w:pStyle w:val="B10"/>
        <w:rPr>
          <w:rFonts w:ascii="Times New Roman" w:hAnsi="Times New Roman"/>
          <w:sz w:val="18"/>
        </w:rPr>
      </w:pPr>
      <w:r w:rsidRPr="001C3F76">
        <w:rPr>
          <w:rFonts w:ascii="Times New Roman" w:hAnsi="Times New Roman"/>
          <w:sz w:val="18"/>
        </w:rPr>
        <w:t>-</w:t>
      </w:r>
      <w:r w:rsidRPr="001C3F76">
        <w:rPr>
          <w:rFonts w:ascii="Times New Roman" w:hAnsi="Times New Roman"/>
          <w:sz w:val="18"/>
        </w:rPr>
        <w:tab/>
      </w:r>
      <w:r w:rsidRPr="001C3F76">
        <w:rPr>
          <w:rFonts w:ascii="Times New Roman" w:hAnsi="Times New Roman"/>
          <w:sz w:val="18"/>
        </w:rPr>
        <w:tab/>
        <w:t xml:space="preserve">if a CORESET is associated with at least one search space set configured with </w:t>
      </w:r>
      <w:r w:rsidRPr="008F14B2">
        <w:rPr>
          <w:rFonts w:ascii="Times New Roman" w:hAnsi="Times New Roman"/>
          <w:i/>
          <w:sz w:val="18"/>
        </w:rPr>
        <w:t>freqMonitorLocation</w:t>
      </w:r>
      <w:r w:rsidR="008F14B2" w:rsidRPr="008F14B2">
        <w:rPr>
          <w:rFonts w:ascii="Times New Roman" w:hAnsi="Times New Roman"/>
          <w:i/>
          <w:color w:val="FF0000"/>
          <w:sz w:val="18"/>
          <w:u w:val="single"/>
        </w:rPr>
        <w:t>s</w:t>
      </w:r>
      <w:r w:rsidRPr="008F14B2">
        <w:rPr>
          <w:rFonts w:ascii="Times New Roman" w:hAnsi="Times New Roman"/>
          <w:i/>
          <w:sz w:val="18"/>
        </w:rPr>
        <w:t>-r16</w:t>
      </w:r>
      <w:r w:rsidRPr="001C3F76">
        <w:rPr>
          <w:rFonts w:ascii="Times New Roman" w:hAnsi="Times New Roman"/>
          <w:sz w:val="18"/>
        </w:rPr>
        <w:t xml:space="preserve">, the first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RBG,set0</m:t>
            </m:r>
          </m:sub>
          <m:sup>
            <m:r>
              <m:rPr>
                <m:sty m:val="p"/>
              </m:rPr>
              <w:rPr>
                <w:rFonts w:ascii="Cambria Math" w:hAnsi="Cambria Math"/>
                <w:sz w:val="18"/>
              </w:rPr>
              <m:t>size</m:t>
            </m:r>
          </m:sup>
        </m:sSubSup>
      </m:oMath>
      <w:r w:rsidRPr="001C3F76">
        <w:rPr>
          <w:rFonts w:ascii="Times New Roman" w:hAnsi="Times New Roman"/>
          <w:sz w:val="18"/>
        </w:rPr>
        <w:t xml:space="preserve">  bits of the bitmap have a one-to-one mapping with non-overlapping groups of 6 consecutive PRBs, in ascending order of the PRB index in the DL BWP bandwidth of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BWP</m:t>
            </m:r>
          </m:sup>
        </m:sSubSup>
      </m:oMath>
      <w:r w:rsidRPr="001C3F76">
        <w:rPr>
          <w:rFonts w:ascii="Times New Roman" w:hAnsi="Times New Roman"/>
          <w:sz w:val="18"/>
        </w:rPr>
        <w:t xml:space="preserve"> PRBs with starting common RB position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BWP</m:t>
            </m:r>
          </m:sub>
          <m:sup>
            <m:r>
              <m:rPr>
                <m:sty m:val="p"/>
              </m:rPr>
              <w:rPr>
                <w:rFonts w:ascii="Cambria Math" w:hAnsi="Cambria Math"/>
                <w:sz w:val="18"/>
              </w:rPr>
              <m:t>start</m:t>
            </m:r>
          </m:sup>
        </m:sSubSup>
      </m:oMath>
      <w:r w:rsidRPr="001C3F76">
        <w:rPr>
          <w:rFonts w:ascii="Times New Roman" w:hAnsi="Times New Roman"/>
          <w:sz w:val="18"/>
        </w:rPr>
        <w:t xml:space="preserve">, where the first common RB of the first group of 6 PRBs has common RB index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BWP</m:t>
            </m:r>
          </m:sub>
          <m:sup>
            <m:r>
              <m:rPr>
                <m:sty m:val="p"/>
              </m:rPr>
              <w:rPr>
                <w:rFonts w:ascii="Cambria Math" w:hAnsi="Cambria Math"/>
                <w:sz w:val="18"/>
              </w:rPr>
              <m:t>start</m:t>
            </m:r>
          </m:sup>
        </m:sSubSup>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oMath>
      <w:r w:rsidRPr="001C3F76">
        <w:rPr>
          <w:rFonts w:ascii="Times New Roman" w:hAnsi="Times New Roman"/>
          <w:sz w:val="18"/>
        </w:rPr>
        <w:t xml:space="preserve">.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RBG,set0</m:t>
            </m:r>
          </m:sub>
          <m:sup>
            <m:r>
              <m:rPr>
                <m:sty m:val="p"/>
              </m:rPr>
              <w:rPr>
                <w:rFonts w:ascii="Cambria Math" w:hAnsi="Cambria Math"/>
                <w:sz w:val="18"/>
              </w:rPr>
              <m:t>size</m:t>
            </m:r>
          </m:sup>
        </m:sSubSup>
        <m:r>
          <m:rPr>
            <m:sty m:val="p"/>
          </m:rPr>
          <w:rPr>
            <w:rFonts w:ascii="Cambria Math" w:hAnsi="Cambria Math"/>
            <w:sz w:val="18"/>
          </w:rPr>
          <m:t>=</m:t>
        </m:r>
        <m:d>
          <m:dPr>
            <m:begChr m:val="⌊"/>
            <m:endChr m:val="⌋"/>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t>
                </m:r>
                <m:r>
                  <w:rPr>
                    <w:rFonts w:ascii="Cambria Math" w:hAnsi="Cambria Math"/>
                    <w:sz w:val="18"/>
                  </w:rPr>
                  <m:t>N</m:t>
                </m:r>
              </m:e>
              <m:sub>
                <m:r>
                  <m:rPr>
                    <m:sty m:val="p"/>
                  </m:rPr>
                  <w:rPr>
                    <w:rFonts w:ascii="Cambria Math" w:hAnsi="Cambria Math"/>
                    <w:sz w:val="18"/>
                  </w:rPr>
                  <m:t>RB,set0</m:t>
                </m:r>
              </m:sub>
              <m:sup>
                <m:r>
                  <m:rPr>
                    <m:sty m:val="p"/>
                  </m:rPr>
                  <w:rPr>
                    <w:rFonts w:ascii="Cambria Math" w:hAnsi="Cambria Math"/>
                    <w:sz w:val="18"/>
                  </w:rPr>
                  <m:t>size</m:t>
                </m:r>
              </m:sup>
            </m:sSubSup>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r>
              <m:rPr>
                <m:sty m:val="p"/>
              </m:rPr>
              <w:rPr>
                <w:rFonts w:ascii="Cambria Math" w:hAnsi="Cambria Math"/>
                <w:sz w:val="18"/>
              </w:rPr>
              <m:t>)/6</m:t>
            </m:r>
          </m:e>
        </m:d>
      </m:oMath>
      <w:r w:rsidRPr="001C3F76">
        <w:rPr>
          <w:rFonts w:ascii="Times New Roman" w:hAnsi="Times New Roman"/>
          <w:sz w:val="18"/>
        </w:rPr>
        <w:t xml:space="preserve">,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RB,set0</m:t>
            </m:r>
          </m:sub>
          <m:sup>
            <m:r>
              <m:rPr>
                <m:sty m:val="p"/>
              </m:rPr>
              <w:rPr>
                <w:rFonts w:ascii="Cambria Math" w:hAnsi="Cambria Math"/>
                <w:sz w:val="18"/>
              </w:rPr>
              <m:t>size</m:t>
            </m:r>
          </m:sup>
        </m:sSubSup>
      </m:oMath>
      <w:r w:rsidRPr="001C3F76">
        <w:rPr>
          <w:rFonts w:ascii="Times New Roman" w:hAnsi="Times New Roman"/>
          <w:sz w:val="18"/>
        </w:rPr>
        <w:t xml:space="preserve"> is a number of available PRBs in the RB set 0 for the DL BWP,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oMath>
      <w:r w:rsidRPr="001C3F76">
        <w:rPr>
          <w:rFonts w:ascii="Times New Roman" w:hAnsi="Times New Roman"/>
          <w:sz w:val="18"/>
        </w:rPr>
        <w:t xml:space="preserve"> is provided by rb-offset or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r>
          <m:rPr>
            <m:sty m:val="p"/>
          </m:rPr>
          <w:rPr>
            <w:rFonts w:ascii="Cambria Math" w:hAnsi="Cambria Math"/>
            <w:sz w:val="18"/>
          </w:rPr>
          <m:t>=0</m:t>
        </m:r>
      </m:oMath>
      <w:r w:rsidRPr="001C3F76">
        <w:rPr>
          <w:rFonts w:ascii="Times New Roman" w:hAnsi="Times New Roman"/>
          <w:sz w:val="18"/>
        </w:rPr>
        <w:t xml:space="preserve"> if rb-offset is not provided.</w:t>
      </w:r>
    </w:p>
    <w:p w14:paraId="1C2A7144" w14:textId="4A7A775C" w:rsidR="008F14B2" w:rsidRDefault="008F14B2" w:rsidP="008F14B2">
      <w:pPr>
        <w:pStyle w:val="B10"/>
        <w:ind w:left="0" w:firstLine="0"/>
        <w:rPr>
          <w:rFonts w:ascii="Times New Roman" w:eastAsiaTheme="minorEastAsia" w:hAnsi="Times New Roman"/>
          <w:sz w:val="18"/>
          <w:lang w:eastAsia="zh-CN"/>
        </w:rPr>
      </w:pPr>
      <w:r>
        <w:rPr>
          <w:rFonts w:ascii="Times New Roman" w:eastAsiaTheme="minorEastAsia" w:hAnsi="Times New Roman"/>
          <w:sz w:val="18"/>
          <w:lang w:eastAsia="zh-CN"/>
        </w:rPr>
        <w:t>… …</w:t>
      </w:r>
    </w:p>
    <w:p w14:paraId="5741E78D" w14:textId="290BDA7E" w:rsidR="008F14B2" w:rsidRPr="008F14B2" w:rsidRDefault="008F14B2" w:rsidP="00116C54">
      <w:pPr>
        <w:pStyle w:val="B10"/>
        <w:numPr>
          <w:ilvl w:val="0"/>
          <w:numId w:val="14"/>
        </w:numPr>
        <w:rPr>
          <w:rFonts w:ascii="Times New Roman" w:hAnsi="Times New Roman"/>
          <w:sz w:val="18"/>
        </w:rPr>
      </w:pPr>
      <w:r w:rsidRPr="008F14B2">
        <w:rPr>
          <w:rFonts w:ascii="Times New Roman" w:hAnsi="Times New Roman"/>
          <w:sz w:val="18"/>
        </w:rPr>
        <w:t xml:space="preserve">a bitmap by </w:t>
      </w:r>
      <w:r w:rsidRPr="008F14B2">
        <w:rPr>
          <w:rFonts w:ascii="Times New Roman" w:hAnsi="Times New Roman"/>
          <w:i/>
          <w:sz w:val="18"/>
        </w:rPr>
        <w:t>freqMonitorLocation</w:t>
      </w:r>
      <w:r w:rsidRPr="008F14B2">
        <w:rPr>
          <w:rFonts w:ascii="Times New Roman" w:hAnsi="Times New Roman"/>
          <w:i/>
          <w:color w:val="FF0000"/>
          <w:sz w:val="18"/>
          <w:u w:val="single"/>
        </w:rPr>
        <w:t>s</w:t>
      </w:r>
      <w:r w:rsidRPr="008F14B2">
        <w:rPr>
          <w:rFonts w:ascii="Times New Roman" w:hAnsi="Times New Roman"/>
          <w:i/>
          <w:sz w:val="18"/>
        </w:rPr>
        <w:t>-r16</w:t>
      </w:r>
      <w:r w:rsidRPr="008F14B2">
        <w:rPr>
          <w:rFonts w:ascii="Times New Roman" w:hAnsi="Times New Roman"/>
          <w:sz w:val="18"/>
        </w:rPr>
        <w:t xml:space="preserve">, if provided, to indicate one or more RB sets for the search space set </w:t>
      </w:r>
      <m:oMath>
        <m:r>
          <w:rPr>
            <w:rFonts w:ascii="Cambria Math" w:hAnsi="Cambria Math"/>
            <w:sz w:val="18"/>
          </w:rPr>
          <m:t>s</m:t>
        </m:r>
      </m:oMath>
      <w:r w:rsidRPr="008F14B2">
        <w:rPr>
          <w:rFonts w:ascii="Times New Roman" w:hAnsi="Times New Roman"/>
          <w:sz w:val="18"/>
        </w:rPr>
        <w:t xml:space="preserve">, where the MSB </w:t>
      </w:r>
      <m:oMath>
        <m:r>
          <w:rPr>
            <w:rFonts w:ascii="Cambria Math" w:hAnsi="Cambria Math"/>
            <w:sz w:val="18"/>
          </w:rPr>
          <m:t>k</m:t>
        </m:r>
      </m:oMath>
      <w:r w:rsidRPr="008F14B2">
        <w:rPr>
          <w:rFonts w:ascii="Times New Roman" w:hAnsi="Times New Roman"/>
          <w:sz w:val="18"/>
        </w:rPr>
        <w:t xml:space="preserve"> in the bitmap corresponds to RB set </w:t>
      </w:r>
      <m:oMath>
        <m:r>
          <w:rPr>
            <w:rFonts w:ascii="Cambria Math" w:hAnsi="Cambria Math"/>
            <w:sz w:val="18"/>
          </w:rPr>
          <m:t>k</m:t>
        </m:r>
        <m:r>
          <m:rPr>
            <m:sty m:val="p"/>
          </m:rPr>
          <w:rPr>
            <w:rFonts w:ascii="Cambria Math" w:hAnsi="Cambria Math"/>
            <w:sz w:val="18"/>
          </w:rPr>
          <m:t>-1</m:t>
        </m:r>
      </m:oMath>
      <w:r w:rsidRPr="008F14B2">
        <w:rPr>
          <w:rFonts w:ascii="Times New Roman" w:hAnsi="Times New Roman"/>
          <w:sz w:val="18"/>
        </w:rPr>
        <w:t xml:space="preserve"> in the DL BWP. For RB set </w:t>
      </w:r>
      <m:oMath>
        <m:r>
          <w:rPr>
            <w:rFonts w:ascii="Cambria Math" w:hAnsi="Cambria Math"/>
            <w:sz w:val="18"/>
          </w:rPr>
          <m:t>k</m:t>
        </m:r>
      </m:oMath>
      <w:r w:rsidRPr="008F14B2">
        <w:rPr>
          <w:rFonts w:ascii="Times New Roman" w:hAnsi="Times New Roman"/>
          <w:sz w:val="18"/>
        </w:rPr>
        <w:t xml:space="preserve"> indicated in the bitmap, the first PRB of the frequency domain monitoring location confined within the RB set is given by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 xml:space="preserve">RB,  set </m:t>
            </m:r>
            <m:r>
              <w:rPr>
                <w:rFonts w:ascii="Cambria Math" w:hAnsi="Cambria Math"/>
                <w:sz w:val="18"/>
              </w:rPr>
              <m:t>k</m:t>
            </m:r>
          </m:sub>
          <m:sup>
            <m:r>
              <m:rPr>
                <m:sty m:val="p"/>
              </m:rPr>
              <w:rPr>
                <w:rFonts w:ascii="Cambria Math" w:hAnsi="Cambria Math"/>
                <w:sz w:val="18"/>
              </w:rPr>
              <m:t>start</m:t>
            </m:r>
          </m:sup>
        </m:sSubSup>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oMath>
      <w:r w:rsidRPr="008F14B2">
        <w:rPr>
          <w:rFonts w:ascii="Times New Roman" w:hAnsi="Times New Roman"/>
          <w:sz w:val="18"/>
        </w:rPr>
        <w:t xml:space="preserve">, where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 xml:space="preserve">RB,set </m:t>
            </m:r>
            <m:r>
              <w:rPr>
                <w:rFonts w:ascii="Cambria Math" w:hAnsi="Cambria Math"/>
                <w:sz w:val="18"/>
              </w:rPr>
              <m:t>k</m:t>
            </m:r>
          </m:sub>
          <m:sup>
            <m:r>
              <m:rPr>
                <m:sty m:val="p"/>
              </m:rPr>
              <w:rPr>
                <w:rFonts w:ascii="Cambria Math" w:hAnsi="Cambria Math"/>
                <w:sz w:val="18"/>
              </w:rPr>
              <m:t>start</m:t>
            </m:r>
          </m:sup>
        </m:sSubSup>
      </m:oMath>
      <w:r w:rsidRPr="008F14B2">
        <w:rPr>
          <w:rFonts w:ascii="Times New Roman" w:hAnsi="Times New Roman"/>
          <w:sz w:val="18"/>
        </w:rPr>
        <w:t xml:space="preserve"> is the index of first PRB of the RB set </w:t>
      </w:r>
      <m:oMath>
        <m:r>
          <w:rPr>
            <w:rFonts w:ascii="Cambria Math" w:hAnsi="Cambria Math"/>
            <w:sz w:val="18"/>
          </w:rPr>
          <m:t>k</m:t>
        </m:r>
      </m:oMath>
      <w:r w:rsidRPr="008F14B2">
        <w:rPr>
          <w:rFonts w:ascii="Times New Roman" w:hAnsi="Times New Roman"/>
          <w:sz w:val="18"/>
        </w:rP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oMath>
      <w:r w:rsidRPr="008F14B2">
        <w:rPr>
          <w:rFonts w:ascii="Times New Roman" w:hAnsi="Times New Roman"/>
          <w:sz w:val="18"/>
        </w:rPr>
        <w:t xml:space="preserve"> is provided by rb-offset or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offset</m:t>
            </m:r>
          </m:sup>
        </m:sSubSup>
        <m:r>
          <m:rPr>
            <m:sty m:val="p"/>
          </m:rPr>
          <w:rPr>
            <w:rFonts w:ascii="Cambria Math" w:hAnsi="Cambria Math"/>
            <w:sz w:val="18"/>
          </w:rPr>
          <m:t>=0</m:t>
        </m:r>
      </m:oMath>
      <w:r w:rsidRPr="008F14B2">
        <w:rPr>
          <w:rFonts w:ascii="Times New Roman" w:hAnsi="Times New Roman"/>
          <w:sz w:val="18"/>
        </w:rPr>
        <w:t xml:space="preserve"> if rb-offset is not provided. The frequency domain resource allocation pattern for each monitoring location is determined based on the first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RBG, set 0</m:t>
            </m:r>
          </m:sub>
          <m:sup>
            <m:r>
              <m:rPr>
                <m:sty m:val="p"/>
              </m:rPr>
              <w:rPr>
                <w:rFonts w:ascii="Cambria Math" w:hAnsi="Cambria Math"/>
                <w:sz w:val="18"/>
              </w:rPr>
              <m:t>size</m:t>
            </m:r>
          </m:sup>
        </m:sSubSup>
      </m:oMath>
      <w:r w:rsidRPr="008F14B2">
        <w:rPr>
          <w:rFonts w:ascii="Times New Roman" w:hAnsi="Times New Roman"/>
          <w:sz w:val="18"/>
        </w:rPr>
        <w:t xml:space="preserve"> bits in </w:t>
      </w:r>
      <w:r w:rsidRPr="008F14B2">
        <w:rPr>
          <w:rFonts w:ascii="Times New Roman" w:hAnsi="Times New Roman"/>
          <w:i/>
          <w:sz w:val="18"/>
        </w:rPr>
        <w:t>frequencyDomainResources</w:t>
      </w:r>
      <w:r w:rsidRPr="008F14B2">
        <w:rPr>
          <w:rFonts w:ascii="Times New Roman" w:hAnsi="Times New Roman"/>
          <w:sz w:val="18"/>
        </w:rPr>
        <w:t xml:space="preserve"> provided by the associated CORESET configuration.</w:t>
      </w:r>
    </w:p>
    <w:p w14:paraId="102AB959" w14:textId="480A89CF" w:rsidR="001C3F76" w:rsidRPr="001C3F76" w:rsidRDefault="001C3F76" w:rsidP="001C3F76">
      <w:pPr>
        <w:pStyle w:val="a0"/>
        <w:rPr>
          <w:rFonts w:ascii="Times New Roman" w:hAnsi="Times New Roman"/>
        </w:rPr>
      </w:pPr>
      <w:r>
        <w:t>------------------------------------------ End TP3 for Section 10.1 of TS 38.213 ----------------------------------------</w:t>
      </w:r>
    </w:p>
    <w:p w14:paraId="53049475" w14:textId="77777777" w:rsidR="00D30EE8" w:rsidRPr="009D4252" w:rsidRDefault="00D30EE8" w:rsidP="009D4252">
      <w:pPr>
        <w:rPr>
          <w:lang w:val="en-GB"/>
        </w:rPr>
      </w:pPr>
    </w:p>
    <w:bookmarkEnd w:id="1"/>
    <w:bookmarkEnd w:id="2"/>
    <w:bookmarkEnd w:id="5"/>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2AD59B4" w14:textId="7FB29944"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remaining issues of</w:t>
      </w:r>
      <w:r w:rsidR="00544AA6">
        <w:rPr>
          <w:rFonts w:ascii="Times New Roman" w:eastAsia="宋体" w:hAnsi="Times New Roman"/>
          <w:lang w:eastAsia="zh-CN"/>
        </w:rPr>
        <w:t xml:space="preserve"> wideband operation in NRU</w:t>
      </w:r>
      <w:r>
        <w:rPr>
          <w:rFonts w:ascii="Times New Roman" w:eastAsia="宋体" w:hAnsi="Times New Roman"/>
          <w:lang w:eastAsia="zh-CN"/>
        </w:rPr>
        <w:t>, and have the following proposals:</w:t>
      </w:r>
    </w:p>
    <w:p w14:paraId="42D273AE" w14:textId="4AD21C55" w:rsidR="00133121" w:rsidRDefault="00133121"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_Ref37178273 \h </w:instrText>
      </w:r>
      <w:r>
        <w:rPr>
          <w:rFonts w:ascii="Times New Roman" w:eastAsia="宋体" w:hAnsi="Times New Roman"/>
          <w:lang w:eastAsia="zh-CN"/>
        </w:rPr>
      </w:r>
      <w:r>
        <w:rPr>
          <w:rFonts w:ascii="Times New Roman" w:eastAsia="宋体" w:hAnsi="Times New Roman"/>
          <w:lang w:eastAsia="zh-CN"/>
        </w:rPr>
        <w:fldChar w:fldCharType="separate"/>
      </w:r>
      <w:r w:rsidR="001C3F76" w:rsidRPr="00544AA6">
        <w:rPr>
          <w:rFonts w:ascii="Times New Roman" w:hAnsi="Times New Roman"/>
          <w:b/>
        </w:rPr>
        <w:t>P</w:t>
      </w:r>
      <w:r w:rsidR="001C3F76" w:rsidRPr="00544AA6">
        <w:rPr>
          <w:rFonts w:ascii="Times New Roman" w:hAnsi="Times New Roman" w:hint="eastAsia"/>
          <w:b/>
        </w:rPr>
        <w:t xml:space="preserve">roposal </w:t>
      </w:r>
      <w:r w:rsidR="001C3F76">
        <w:rPr>
          <w:rFonts w:ascii="Times New Roman" w:hAnsi="Times New Roman"/>
          <w:b/>
          <w:noProof/>
        </w:rPr>
        <w:t>1</w:t>
      </w:r>
      <w:r w:rsidR="001C3F76" w:rsidRPr="00544AA6">
        <w:rPr>
          <w:rFonts w:ascii="Times New Roman" w:hAnsi="Times New Roman" w:hint="eastAsia"/>
          <w:b/>
        </w:rPr>
        <w:t>:</w:t>
      </w:r>
      <w:r w:rsidR="001C3F76" w:rsidRPr="00544AA6">
        <w:rPr>
          <w:rFonts w:ascii="Times New Roman" w:hAnsi="Times New Roman"/>
          <w:b/>
        </w:rPr>
        <w:t xml:space="preserve"> </w:t>
      </w:r>
      <w:r w:rsidR="001C3F76">
        <w:rPr>
          <w:rFonts w:ascii="Times New Roman" w:hAnsi="Times New Roman"/>
          <w:b/>
        </w:rPr>
        <w:t>RAN1 adopts the following TP1 for RB set definition.</w:t>
      </w:r>
      <w:r>
        <w:rPr>
          <w:rFonts w:ascii="Times New Roman" w:eastAsia="宋体" w:hAnsi="Times New Roman"/>
          <w:lang w:eastAsia="zh-CN"/>
        </w:rPr>
        <w:fldChar w:fldCharType="end"/>
      </w:r>
    </w:p>
    <w:p w14:paraId="7995B5C1" w14:textId="4A5755CE" w:rsidR="001C3F76" w:rsidRDefault="008F14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_Ref37239152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544AA6">
        <w:rPr>
          <w:rFonts w:ascii="Times New Roman" w:hAnsi="Times New Roman"/>
          <w:b/>
        </w:rPr>
        <w:t>P</w:t>
      </w:r>
      <w:r w:rsidRPr="00544AA6">
        <w:rPr>
          <w:rFonts w:ascii="Times New Roman" w:hAnsi="Times New Roman" w:hint="eastAsia"/>
          <w:b/>
        </w:rPr>
        <w:t xml:space="preserve">roposal </w:t>
      </w:r>
      <w:r>
        <w:rPr>
          <w:rFonts w:ascii="Times New Roman" w:hAnsi="Times New Roman"/>
          <w:b/>
          <w:noProof/>
        </w:rPr>
        <w:t>2</w:t>
      </w:r>
      <w:r w:rsidRPr="00544AA6">
        <w:rPr>
          <w:rFonts w:ascii="Times New Roman" w:hAnsi="Times New Roman" w:hint="eastAsia"/>
          <w:b/>
        </w:rPr>
        <w:t>:</w:t>
      </w:r>
      <w:r w:rsidRPr="00544AA6">
        <w:rPr>
          <w:rFonts w:ascii="Times New Roman" w:hAnsi="Times New Roman"/>
          <w:b/>
        </w:rPr>
        <w:t xml:space="preserve"> </w:t>
      </w:r>
      <w:r>
        <w:rPr>
          <w:rFonts w:ascii="Times New Roman" w:hAnsi="Times New Roman"/>
          <w:b/>
        </w:rPr>
        <w:t xml:space="preserve">RAN1 adopts the following TP2 for SS set configuration with </w:t>
      </w:r>
      <w:r w:rsidRPr="001C3F76">
        <w:rPr>
          <w:rFonts w:ascii="Times New Roman" w:hAnsi="Times New Roman"/>
          <w:b/>
          <w:i/>
        </w:rPr>
        <w:t>freqMonitorLocations-r16</w:t>
      </w:r>
      <w:r>
        <w:rPr>
          <w:rFonts w:ascii="Times New Roman" w:hAnsi="Times New Roman"/>
          <w:b/>
        </w:rPr>
        <w:t>.</w:t>
      </w:r>
      <w:r>
        <w:rPr>
          <w:rFonts w:ascii="Times New Roman" w:eastAsia="宋体" w:hAnsi="Times New Roman"/>
          <w:lang w:eastAsia="zh-CN"/>
        </w:rPr>
        <w:fldChar w:fldCharType="end"/>
      </w:r>
    </w:p>
    <w:p w14:paraId="69FCCE1F" w14:textId="43190DED"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44BCE58" w14:textId="552067AE" w:rsidR="004A1E03" w:rsidRDefault="004A1E03" w:rsidP="00116C54">
      <w:pPr>
        <w:pStyle w:val="a0"/>
        <w:numPr>
          <w:ilvl w:val="0"/>
          <w:numId w:val="11"/>
        </w:numPr>
        <w:rPr>
          <w:rFonts w:ascii="Times New Roman" w:eastAsia="宋体" w:hAnsi="Times New Roman"/>
          <w:lang w:eastAsia="zh-CN"/>
        </w:rPr>
      </w:pPr>
      <w:bookmarkStart w:id="6" w:name="_Ref37233464"/>
      <w:r>
        <w:rPr>
          <w:rFonts w:ascii="Times New Roman" w:eastAsia="宋体" w:hAnsi="Times New Roman" w:hint="eastAsia"/>
          <w:lang w:eastAsia="zh-CN"/>
        </w:rPr>
        <w:t>R</w:t>
      </w:r>
      <w:r>
        <w:rPr>
          <w:rFonts w:ascii="Times New Roman" w:eastAsia="宋体" w:hAnsi="Times New Roman"/>
          <w:lang w:eastAsia="zh-CN"/>
        </w:rPr>
        <w:t>2-</w:t>
      </w:r>
      <w:r w:rsidRPr="004A1E03">
        <w:rPr>
          <w:rFonts w:ascii="Times New Roman" w:eastAsia="宋体" w:hAnsi="Times New Roman"/>
          <w:lang w:eastAsia="zh-CN"/>
        </w:rPr>
        <w:t>2001920</w:t>
      </w:r>
      <w:r>
        <w:rPr>
          <w:rFonts w:ascii="Times New Roman" w:eastAsia="宋体" w:hAnsi="Times New Roman"/>
          <w:lang w:eastAsia="zh-CN"/>
        </w:rPr>
        <w:t xml:space="preserve">, </w:t>
      </w:r>
      <w:r w:rsidRPr="004A1E03">
        <w:rPr>
          <w:rFonts w:ascii="Times New Roman" w:eastAsia="宋体" w:hAnsi="Times New Roman"/>
          <w:lang w:eastAsia="zh-CN"/>
        </w:rPr>
        <w:t>Introduction of NR operation with Shared Spectrum Access in RRC</w:t>
      </w:r>
      <w:r>
        <w:rPr>
          <w:rFonts w:ascii="Times New Roman" w:eastAsia="宋体" w:hAnsi="Times New Roman"/>
          <w:lang w:eastAsia="zh-CN"/>
        </w:rPr>
        <w:t xml:space="preserve">, RAN2#109e, </w:t>
      </w:r>
      <w:r w:rsidRPr="004A1E03">
        <w:rPr>
          <w:rFonts w:ascii="Times New Roman" w:eastAsia="宋体" w:hAnsi="Times New Roman"/>
          <w:lang w:eastAsia="zh-CN"/>
        </w:rPr>
        <w:t>24 February – 6 March</w:t>
      </w:r>
      <w:r>
        <w:rPr>
          <w:rFonts w:ascii="Times New Roman" w:eastAsia="宋体" w:hAnsi="Times New Roman"/>
          <w:lang w:eastAsia="zh-CN"/>
        </w:rPr>
        <w:t>,</w:t>
      </w:r>
      <w:r w:rsidRPr="004A1E03">
        <w:rPr>
          <w:rFonts w:ascii="Times New Roman" w:eastAsia="宋体" w:hAnsi="Times New Roman"/>
          <w:lang w:eastAsia="zh-CN"/>
        </w:rPr>
        <w:t xml:space="preserve"> 2020</w:t>
      </w:r>
      <w:r>
        <w:rPr>
          <w:rFonts w:ascii="Times New Roman" w:eastAsia="宋体" w:hAnsi="Times New Roman"/>
          <w:lang w:eastAsia="zh-CN"/>
        </w:rPr>
        <w:t>.</w:t>
      </w:r>
      <w:bookmarkEnd w:id="6"/>
    </w:p>
    <w:p w14:paraId="33380CBF" w14:textId="778995FC" w:rsidR="009148E4" w:rsidRPr="009148E4" w:rsidRDefault="009148E4" w:rsidP="00116C54">
      <w:pPr>
        <w:pStyle w:val="a0"/>
        <w:numPr>
          <w:ilvl w:val="0"/>
          <w:numId w:val="11"/>
        </w:numPr>
        <w:rPr>
          <w:rFonts w:ascii="Times New Roman" w:eastAsia="宋体" w:hAnsi="Times New Roman"/>
          <w:lang w:eastAsia="zh-CN"/>
        </w:rPr>
      </w:pPr>
      <w:r>
        <w:rPr>
          <w:rFonts w:ascii="Times New Roman" w:eastAsia="宋体" w:hAnsi="Times New Roman"/>
          <w:lang w:eastAsia="zh-CN"/>
        </w:rPr>
        <w:t>RAN1 chairman notes, RAN1 #99, Reno, USA, November 18th – 22nd, 2019.</w:t>
      </w:r>
    </w:p>
    <w:sectPr w:rsidR="009148E4" w:rsidRPr="009148E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21D2F" w14:textId="77777777" w:rsidR="00071E1C" w:rsidRDefault="00071E1C">
      <w:r>
        <w:separator/>
      </w:r>
    </w:p>
  </w:endnote>
  <w:endnote w:type="continuationSeparator" w:id="0">
    <w:p w14:paraId="5B349FF2" w14:textId="77777777" w:rsidR="00071E1C" w:rsidRDefault="0007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C9CF4" w14:textId="77777777" w:rsidR="00071E1C" w:rsidRDefault="00071E1C">
      <w:r>
        <w:separator/>
      </w:r>
    </w:p>
  </w:footnote>
  <w:footnote w:type="continuationSeparator" w:id="0">
    <w:p w14:paraId="6C1F82C0" w14:textId="77777777" w:rsidR="00071E1C" w:rsidRDefault="00071E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AD53498"/>
    <w:multiLevelType w:val="hybridMultilevel"/>
    <w:tmpl w:val="15EC42F0"/>
    <w:lvl w:ilvl="0" w:tplc="57A860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6D34F3C"/>
    <w:multiLevelType w:val="hybridMultilevel"/>
    <w:tmpl w:val="0122B470"/>
    <w:lvl w:ilvl="0" w:tplc="C302995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984"/>
        </w:tabs>
        <w:ind w:left="1984"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4"/>
  </w:num>
  <w:num w:numId="3">
    <w:abstractNumId w:val="8"/>
  </w:num>
  <w:num w:numId="4">
    <w:abstractNumId w:val="2"/>
  </w:num>
  <w:num w:numId="5">
    <w:abstractNumId w:val="3"/>
  </w:num>
  <w:num w:numId="6">
    <w:abstractNumId w:val="6"/>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0"/>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15"/>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1C"/>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6C54"/>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121"/>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3F76"/>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438"/>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369"/>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1E2"/>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92"/>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A3F"/>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3C9"/>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1E03"/>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5C0A"/>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4F91"/>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AA6"/>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28F"/>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E5"/>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936"/>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ED7"/>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07F"/>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4B2"/>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8E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5C2"/>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142"/>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25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4EC9"/>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42E"/>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5CB3"/>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4B01"/>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14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8D6"/>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57F0"/>
    <w:rsid w:val="00D2674D"/>
    <w:rsid w:val="00D271E5"/>
    <w:rsid w:val="00D27C64"/>
    <w:rsid w:val="00D27D99"/>
    <w:rsid w:val="00D3058D"/>
    <w:rsid w:val="00D30EE8"/>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694"/>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5DB4"/>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8F8"/>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580"/>
    <w:rsid w:val="00E636D2"/>
    <w:rsid w:val="00E63ADC"/>
    <w:rsid w:val="00E63E6F"/>
    <w:rsid w:val="00E642D8"/>
    <w:rsid w:val="00E6462C"/>
    <w:rsid w:val="00E646DE"/>
    <w:rsid w:val="00E64968"/>
    <w:rsid w:val="00E64B8B"/>
    <w:rsid w:val="00E64BB4"/>
    <w:rsid w:val="00E65044"/>
    <w:rsid w:val="00E6516D"/>
    <w:rsid w:val="00E65190"/>
    <w:rsid w:val="00E65589"/>
    <w:rsid w:val="00E6570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4C28"/>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E89"/>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824B304B-6DC4-49CA-A338-6698BBC9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aliases w:val="cap Char3,cap Char Char2,Caption Char Char1,Caption Char1 Char Char1,cap Char Char1 Char1,Caption Char Char1 Char Char1,cap Char2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rPr>
  </w:style>
  <w:style w:type="paragraph" w:styleId="af0">
    <w:name w:val="Balloon Text"/>
    <w:basedOn w:val="a"/>
    <w:link w:val="Char3"/>
    <w:uiPriority w:val="99"/>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4">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6">
    <w:name w:val="批注文字 Char"/>
    <w:uiPriority w:val="99"/>
    <w:qFormat/>
    <w:rsid w:val="00BB24DD"/>
    <w:rPr>
      <w:rFonts w:ascii="Times" w:eastAsia="Batang" w:hAnsi="Times"/>
      <w:lang w:val="en-GB" w:eastAsia="en-US" w:bidi="ar-SA"/>
    </w:rPr>
  </w:style>
  <w:style w:type="character" w:customStyle="1" w:styleId="Char7">
    <w:name w:val="题注 Char"/>
    <w:aliases w:val="cap Char1,cap Char Char,Caption Char Char,Caption Char1 Char Char,cap Char Char1 Char,Caption Char Char1 Char Char,cap Char2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9"/>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lang w:val="x-none" w:eastAsia="x-none"/>
    </w:rPr>
  </w:style>
  <w:style w:type="character" w:customStyle="1" w:styleId="3GPPNormalTextChar">
    <w:name w:val="3GPP Normal Text Char"/>
    <w:link w:val="3GPPNormalText"/>
    <w:qFormat/>
    <w:rsid w:val="00B25E22"/>
    <w:rPr>
      <w:rFonts w:ascii="Times New Roman" w:eastAsia="MS Mincho" w:hAnsi="Times New Roman"/>
      <w:sz w:val="22"/>
      <w:szCs w:val="24"/>
      <w:lang w:val="x-none" w:eastAsia="x-none"/>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CharCharCharCharCharCharCharCharCharChar0">
    <w:name w:val="Char Char Char Char Char Char Char Char Char Char"/>
    <w:basedOn w:val="ad"/>
    <w:rsid w:val="003251E2"/>
    <w:pPr>
      <w:widowControl w:val="0"/>
      <w:adjustRightInd w:val="0"/>
      <w:spacing w:line="436" w:lineRule="exact"/>
      <w:ind w:left="357"/>
      <w:outlineLvl w:val="3"/>
    </w:pPr>
    <w:rPr>
      <w:rFonts w:ascii="Tahoma" w:eastAsia="宋体" w:hAnsi="Tahoma"/>
      <w:b/>
      <w:kern w:val="2"/>
      <w:sz w:val="24"/>
      <w:lang w:eastAsia="zh-CN"/>
    </w:rPr>
  </w:style>
  <w:style w:type="character" w:customStyle="1" w:styleId="14">
    <w:name w:val="正文文本 字符1"/>
    <w:semiHidden/>
    <w:qFormat/>
    <w:locked/>
    <w:rsid w:val="009148E4"/>
    <w:rPr>
      <w:rFonts w:eastAsia="MS Mincho"/>
      <w:szCs w:val="24"/>
      <w:lang w:eastAsia="en-US"/>
    </w:rPr>
  </w:style>
  <w:style w:type="character" w:customStyle="1" w:styleId="Char3">
    <w:name w:val="批注框文本 Char"/>
    <w:basedOn w:val="a1"/>
    <w:link w:val="af0"/>
    <w:uiPriority w:val="99"/>
    <w:semiHidden/>
    <w:rsid w:val="00133121"/>
    <w:rPr>
      <w:rFonts w:eastAsia="Times New Roman"/>
      <w:sz w:val="18"/>
      <w:szCs w:val="18"/>
      <w:lang w:eastAsia="en-US"/>
    </w:rPr>
  </w:style>
  <w:style w:type="paragraph" w:customStyle="1" w:styleId="NW">
    <w:name w:val="NW"/>
    <w:basedOn w:val="a"/>
    <w:rsid w:val="00EF4C28"/>
    <w:pPr>
      <w:keepLines/>
      <w:ind w:left="1135" w:hanging="851"/>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412242605">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609893412">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21" Type="http://schemas.openxmlformats.org/officeDocument/2006/relationships/image" Target="media/image14.wm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2D720-8BBB-4C14-AFA1-36CFA7D7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1112</Words>
  <Characters>6343</Characters>
  <Application>Microsoft Office Word</Application>
  <DocSecurity>0</DocSecurity>
  <Lines>52</Lines>
  <Paragraphs>14</Paragraphs>
  <ScaleCrop>false</ScaleCrop>
  <Company>Vivo</Company>
  <LinksUpToDate>false</LinksUpToDate>
  <CharactersWithSpaces>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2</cp:revision>
  <cp:lastPrinted>2011-08-03T09:36:00Z</cp:lastPrinted>
  <dcterms:created xsi:type="dcterms:W3CDTF">2020-04-10T13:13:00Z</dcterms:created>
  <dcterms:modified xsi:type="dcterms:W3CDTF">2020-04-10T13:13:00Z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